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Upstream 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91678A107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91678A107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HBM Healthcare Investments (Cayman)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2,715,056.00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2,715,056.00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2,715,056.00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900"/>
          </w:cols>
          <w:pgMar w:left="320" w:top="111" w:right="519" w:bottom="0" w:gutter="0" w:footer="0" w:header="0"/>
        </w:sectPr>
      </w:pPr>
    </w:p>
    <w:p>
      <w:pPr>
        <w:spacing w:after="0" w:line="7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Voting and investment power over the shares held by HBM Healthcare Investments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(Cayman) Ltd. is exercised by the board of directors of HBM Healthcare Investments (Cayman) Ltd. (the "Board"). The Board consists of Jean-Marc LeSieur, Richard H. Coles, Sophia Harris, Dr. Andreas Wicki, Mark Kronenfeld, M.D., and Richard Paul Woodhouse, none of whom has individual voting or investment power with respect to the shares.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Upstream Bio,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890 Winter Street, Suite 200, Waltham, MA, 02451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HBM Healthcare Investments (Cayman) Ltd. (the "Reporting Person")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right="800"/>
        <w:spacing w:after="0" w:line="256" w:lineRule="auto"/>
        <w:rPr>
          <w:sz w:val="20"/>
          <w:szCs w:val="20"/>
          <w:color w:val="auto"/>
        </w:rPr>
      </w:pPr>
      <w:r>
        <w:rPr>
          <w:rFonts w:ascii="Times New Roman" w:cs="Times New Roman" w:eastAsia="Times New Roman" w:hAnsi="Times New Roman"/>
          <w:sz w:val="22"/>
          <w:szCs w:val="22"/>
          <w:color w:val="auto"/>
        </w:rPr>
        <w:t>Governors Square, 23 Lime Tree Bay Avenue, PO Box 30852, Grand Cayman, KY1-1204, Cayman Islands Citizenship:</w:t>
      </w:r>
    </w:p>
    <w:p>
      <w:pPr>
        <w:ind w:left="40"/>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Cayman Islands, British West Indies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91678A107</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ectPr>
          <w:pgSz w:w="11900" w:h="16838" w:orient="portrait"/>
          <w:cols w:equalWidth="0" w:num="1">
            <w:col w:w="11060"/>
          </w:cols>
          <w:pgMar w:left="320" w:top="111" w:right="519" w:bottom="0" w:gutter="0" w:footer="0" w:header="0"/>
          <w:type w:val="continuous"/>
        </w:sectPr>
      </w:pPr>
    </w:p>
    <w:bookmarkStart w:id="2" w:name="page3"/>
    <w:bookmarkEnd w:id="2"/>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87"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As of December 31, 2024, the Reporting Person may be deemed the beneficial owner of 2,715,056 shares of</w:t>
      </w:r>
    </w:p>
    <w:p>
      <w:pPr>
        <w:spacing w:after="0" w:line="14" w:lineRule="exact"/>
        <w:rPr>
          <w:sz w:val="20"/>
          <w:szCs w:val="20"/>
          <w:color w:val="auto"/>
        </w:rPr>
      </w:pPr>
    </w:p>
    <w:p>
      <w:pPr>
        <w:ind w:left="920" w:right="220" w:hanging="912"/>
        <w:spacing w:after="0" w:line="23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which represents approximately 5.1% of the shares of Common Stock outstanding. The percentage set forth herein is calculated based on 53,596,601 shares of Common Stock outstanding as of November 5, 2024, as reported in the Issuer's Quarterly Report on Form 10-Q filed with the Securities and Exchange Commission on November 7, 2024.</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2,715,056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2,715,056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87" w:orient="portrait"/>
          <w:cols w:equalWidth="0" w:num="2">
            <w:col w:w="620" w:space="300"/>
            <w:col w:w="10220"/>
          </w:cols>
          <w:pgMar w:left="360" w:top="111" w:right="399" w:bottom="0" w:gutter="0" w:footer="0" w:header="0"/>
          <w:type w:val="continuous"/>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HBM Healthcare Investments (Cayman) Ltd.</w:t>
      </w:r>
    </w:p>
    <w:p>
      <w:pPr>
        <w:spacing w:after="0" w:line="152" w:lineRule="exact"/>
        <w:rPr>
          <w:sz w:val="20"/>
          <w:szCs w:val="20"/>
          <w:color w:val="auto"/>
        </w:rPr>
      </w:pPr>
    </w:p>
    <w:p>
      <w:pPr>
        <w:ind w:left="468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Jean-Marc LeSieur</w:t>
      </w:r>
    </w:p>
    <w:p>
      <w:pPr>
        <w:spacing w:after="0" w:line="4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Name/Title: Jean-Marc LeSieur, Managing Director</w:t>
      </w:r>
    </w:p>
    <w:p>
      <w:pPr>
        <w:sectPr>
          <w:pgSz w:w="11900" w:h="16887" w:orient="portrait"/>
          <w:cols w:equalWidth="0" w:num="1">
            <w:col w:w="11140"/>
          </w:cols>
          <w:pgMar w:left="360" w:top="111" w:right="399" w:bottom="0" w:gutter="0" w:footer="0" w:header="0"/>
          <w:type w:val="continuous"/>
        </w:sectPr>
      </w:pPr>
    </w:p>
    <w:bookmarkStart w:id="3" w:name="page4"/>
    <w:bookmarkEnd w:id="3"/>
    <w:p>
      <w:pPr>
        <w:ind w:left="3600"/>
        <w:spacing w:after="0"/>
        <w:tabs>
          <w:tab w:leader="none" w:pos="468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02/13/2025</w:t>
      </w:r>
    </w:p>
    <w:sectPr>
      <w:pgSz w:w="11900" w:h="16838" w:orient="portrait"/>
      <w:cols w:equalWidth="0" w:num="1">
        <w:col w:w="9019"/>
      </w:cols>
      <w:pgMar w:left="1440" w:top="1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2025-02-13T15:35:57Z</dcterms:created>
  <dcterms:modified xsi:type="dcterms:W3CDTF">2025-02-13T15:35:57Z</dcterms:modified>
</cp:coreProperties>
</file>