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pb-20260326.htm"/>
      <w:bookmarkStart w:id="1" w:name="ksupb20260326"/>
      <w:bookmarkEnd w:id="0"/>
      <w:bookmarkEnd w:id="1"/>
      <w:r>
        <w:rPr/>
        <w:t> </w:t>
      </w:r>
    </w:p>
    <w:p>
      <w:pPr>
        <w:pStyle w:val="TextBody"/>
        <w:pBdr>
          <w:top w:val="double" w:sz="2" w:space="1" w:color="000000"/>
        </w:pBdr>
        <w:bidi w:val="0"/>
        <w:jc w:val="left"/>
        <w:rPr/>
      </w:pPr>
      <w:r>
        <w:rPr/>
        <w:t> </w:t>
      </w:r>
    </w:p>
    <w:p>
      <w:pPr>
        <w:pStyle w:val="TextBody"/>
        <w:bidi w:val="0"/>
        <w:spacing w:before="0" w:after="120"/>
        <w:jc w:val="center"/>
        <w:rPr>
          <w:rFonts w:ascii="Times New Roman" w:hAnsi="Times New Roman"/>
          <w:b/>
          <w:color w:val="000000"/>
          <w:sz w:val="18"/>
        </w:rPr>
      </w:pPr>
      <w:r>
        <w:rPr>
          <w:rFonts w:ascii="Times New Roman" w:hAnsi="Times New Roman"/>
          <w:b/>
          <w:color w:val="000000"/>
          <w:sz w:val="18"/>
        </w:rPr>
        <w:t>As filed with the Securities and Exchange Commission on March 26, 2026</w:t>
      </w:r>
    </w:p>
    <w:p>
      <w:pPr>
        <w:pStyle w:val="TextBody"/>
        <w:bidi w:val="0"/>
        <w:spacing w:before="0" w:after="60"/>
        <w:jc w:val="right"/>
        <w:rPr>
          <w:rFonts w:ascii="Times New Roman" w:hAnsi="Times New Roman"/>
          <w:b/>
          <w:color w:val="000000"/>
          <w:sz w:val="18"/>
        </w:rPr>
      </w:pPr>
      <w:r>
        <w:rPr>
          <w:rFonts w:ascii="Times New Roman" w:hAnsi="Times New Roman"/>
          <w:b/>
          <w:color w:val="000000"/>
          <w:sz w:val="18"/>
        </w:rPr>
        <w:t>Registration No. 333-</w:t>
      </w:r>
    </w:p>
    <w:p>
      <w:pPr>
        <w:pStyle w:val="TextBody"/>
        <w:pBdr>
          <w:top w:val="single" w:sz="12"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pBdr>
          <w:top w:val="single" w:sz="12" w:space="1" w:color="000000"/>
        </w:pBdr>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b/>
          <w:color w:val="000000"/>
          <w:sz w:val="20"/>
        </w:rPr>
        <w:br/>
      </w:r>
      <w:r>
        <w:rPr>
          <w:rFonts w:ascii="Times New Roman" w:hAnsi="Times New Roman"/>
          <w:b/>
          <w:color w:val="000000"/>
          <w:sz w:val="24"/>
        </w:rPr>
        <w:t>Washington, D.C. 20549</w:t>
      </w:r>
    </w:p>
    <w:p>
      <w:pPr>
        <w:pStyle w:val="TextBody"/>
        <w:bidi w:val="0"/>
        <w:jc w:val="center"/>
        <w:rPr/>
      </w:pPr>
      <w:r>
        <w:rPr/>
        <w:t> </w:t>
      </w:r>
    </w:p>
    <w:p>
      <w:pPr>
        <w:pStyle w:val="TextBody"/>
        <w:pBdr>
          <w:top w:val="single" w:sz="12"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S-8</w:t>
        <w:br/>
        <w:t>REGISTRATION STATEMENT</w:t>
        <w:br/>
      </w:r>
      <w:r>
        <w:rPr>
          <w:rFonts w:ascii="Times New Roman" w:hAnsi="Times New Roman"/>
          <w:b/>
          <w:i/>
          <w:color w:val="000000"/>
          <w:sz w:val="24"/>
        </w:rPr>
        <w:t>UNDER</w:t>
      </w:r>
      <w:r>
        <w:rPr>
          <w:rFonts w:ascii="Times New Roman" w:hAnsi="Times New Roman"/>
          <w:color w:val="000000"/>
          <w:sz w:val="24"/>
        </w:rPr>
        <w:br/>
      </w:r>
      <w:r>
        <w:rPr>
          <w:rFonts w:ascii="Times New Roman" w:hAnsi="Times New Roman"/>
          <w:b/>
          <w:i/>
          <w:color w:val="000000"/>
          <w:sz w:val="24"/>
        </w:rPr>
        <w:t>THE SECURITIES ACT OF 1933</w:t>
      </w:r>
    </w:p>
    <w:p>
      <w:pPr>
        <w:pStyle w:val="TextBody"/>
        <w:pBdr>
          <w:bottom w:val="single" w:sz="12" w:space="1" w:color="000000"/>
        </w:pBdr>
        <w:bidi w:val="0"/>
        <w:jc w:val="center"/>
        <w:rPr/>
      </w:pPr>
      <w:r>
        <w:rPr/>
        <w:t> </w:t>
      </w:r>
    </w:p>
    <w:p>
      <w:pPr>
        <w:pStyle w:val="TextBody"/>
        <w:bidi w:val="0"/>
        <w:spacing w:before="0" w:after="60"/>
        <w:jc w:val="center"/>
        <w:rPr>
          <w:rFonts w:ascii="Times New Roman" w:hAnsi="Times New Roman"/>
          <w:b/>
          <w:color w:val="000000"/>
          <w:sz w:val="48"/>
        </w:rPr>
      </w:pPr>
      <w:r>
        <w:rPr>
          <w:rFonts w:ascii="Times New Roman" w:hAnsi="Times New Roman"/>
          <w:b/>
          <w:color w:val="000000"/>
          <w:sz w:val="48"/>
        </w:rPr>
        <w:t>Upstream Bio, Inc.</w:t>
      </w:r>
    </w:p>
    <w:p>
      <w:pPr>
        <w:pStyle w:val="TextBody"/>
        <w:bidi w:val="0"/>
        <w:jc w:val="center"/>
        <w:rPr>
          <w:rFonts w:ascii="Times New Roman" w:hAnsi="Times New Roman"/>
          <w:b/>
          <w:color w:val="000000"/>
          <w:sz w:val="24"/>
        </w:rPr>
      </w:pPr>
      <w:r>
        <w:rPr>
          <w:rFonts w:ascii="Times New Roman" w:hAnsi="Times New Roman"/>
          <w:b/>
          <w:color w:val="000000"/>
          <w:sz w:val="24"/>
        </w:rPr>
        <w:t>(Exact name of registrant as specified in its charter)</w:t>
      </w:r>
    </w:p>
    <w:p>
      <w:pPr>
        <w:pStyle w:val="TextBody"/>
        <w:pBdr>
          <w:bottom w:val="single" w:sz="12" w:space="1" w:color="000000"/>
        </w:pBdr>
        <w:bidi w:val="0"/>
        <w:spacing w:before="0" w:after="120"/>
        <w:jc w:val="center"/>
        <w:rPr/>
      </w:pPr>
      <w:r>
        <w:rPr/>
        <w:t> </w:t>
      </w:r>
    </w:p>
    <w:tbl>
      <w:tblPr>
        <w:tblW w:w="4577" w:type="dxa"/>
        <w:jc w:val="left"/>
        <w:tblInd w:w="0" w:type="dxa"/>
        <w:tblLayout w:type="fixed"/>
        <w:tblCellMar>
          <w:top w:w="28" w:type="dxa"/>
          <w:left w:w="28" w:type="dxa"/>
          <w:bottom w:w="28" w:type="dxa"/>
          <w:right w:w="28" w:type="dxa"/>
        </w:tblCellMar>
      </w:tblPr>
      <w:tblGrid>
        <w:gridCol w:w="3076"/>
        <w:gridCol w:w="1501"/>
      </w:tblGrid>
      <w:tr>
        <w:trPr/>
        <w:tc>
          <w:tcPr>
            <w:tcW w:w="307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38-4187694</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(State or other jurisdiction of </w:t>
              <w:br/>
              <w:t>incorporation or organization)</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(I.R.S. employer</w:t>
              <w:br/>
              <w:t>identification no.)</w:t>
            </w:r>
          </w:p>
        </w:tc>
      </w:tr>
      <w:tr>
        <w:trPr/>
        <w:tc>
          <w:tcPr>
            <w:tcW w:w="307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890 Winter Street, Suite 200</w:t>
            </w:r>
          </w:p>
          <w:p>
            <w:pPr>
              <w:pStyle w:val="TableContents"/>
              <w:bidi w:val="0"/>
              <w:jc w:val="center"/>
              <w:rPr>
                <w:rFonts w:ascii="Times New Roman" w:hAnsi="Times New Roman"/>
                <w:b/>
                <w:color w:val="000000"/>
                <w:sz w:val="20"/>
              </w:rPr>
            </w:pPr>
            <w:r>
              <w:rPr>
                <w:rFonts w:ascii="Times New Roman" w:hAnsi="Times New Roman"/>
                <w:b/>
                <w:color w:val="000000"/>
                <w:sz w:val="20"/>
              </w:rPr>
              <w:t>Waltham, MA</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02451</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jc w:val="center"/>
        <w:rPr/>
      </w:pPr>
      <w:r>
        <w:rPr/>
        <w:t> </w:t>
      </w:r>
    </w:p>
    <w:p>
      <w:pPr>
        <w:pStyle w:val="TextBody"/>
        <w:bidi w:val="0"/>
        <w:spacing w:before="0" w:after="120"/>
        <w:jc w:val="center"/>
        <w:rPr>
          <w:rFonts w:ascii="Times New Roman" w:hAnsi="Times New Roman"/>
          <w:sz w:val="20"/>
        </w:rPr>
      </w:pPr>
      <w:r>
        <w:rPr>
          <w:rFonts w:ascii="Times New Roman" w:hAnsi="Times New Roman"/>
          <w:b/>
          <w:color w:val="000000"/>
          <w:sz w:val="20"/>
        </w:rPr>
        <w:t>Upstream Bio, Inc. 2024 Stock Option and Incentive Plan</w:t>
        <w:br/>
      </w:r>
      <w:r>
        <w:rPr>
          <w:rFonts w:ascii="Times New Roman" w:hAnsi="Times New Roman"/>
          <w:b/>
          <w:color w:val="000000"/>
          <w:sz w:val="18"/>
        </w:rPr>
        <w:t>(Full title of the plan)</w:t>
      </w:r>
    </w:p>
    <w:p>
      <w:pPr>
        <w:pStyle w:val="TextBody"/>
        <w:bidi w:val="0"/>
        <w:jc w:val="center"/>
        <w:rPr>
          <w:rFonts w:ascii="Times New Roman" w:hAnsi="Times New Roman"/>
          <w:b/>
          <w:color w:val="000000"/>
          <w:sz w:val="20"/>
        </w:rPr>
      </w:pPr>
      <w:r>
        <w:rPr>
          <w:rFonts w:ascii="Times New Roman" w:hAnsi="Times New Roman"/>
          <w:b/>
          <w:color w:val="000000"/>
          <w:sz w:val="20"/>
        </w:rPr>
        <w:t xml:space="preserve">E. Rand Sutherland, M.D. </w:t>
        <w:br/>
        <w:t>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Upstream Bio, Inc.</w:t>
        <w:br/>
        <w:t>890 Winter Street, Suite 200</w:t>
      </w:r>
    </w:p>
    <w:p>
      <w:pPr>
        <w:pStyle w:val="TextBody"/>
        <w:bidi w:val="0"/>
        <w:jc w:val="center"/>
        <w:rPr>
          <w:rFonts w:ascii="Times New Roman" w:hAnsi="Times New Roman"/>
          <w:b/>
          <w:color w:val="000000"/>
          <w:sz w:val="20"/>
        </w:rPr>
      </w:pPr>
      <w:r>
        <w:rPr>
          <w:rFonts w:ascii="Times New Roman" w:hAnsi="Times New Roman"/>
          <w:b/>
          <w:color w:val="000000"/>
          <w:sz w:val="20"/>
        </w:rPr>
        <w:t>Waltham, MA 02451</w:t>
      </w:r>
    </w:p>
    <w:p>
      <w:pPr>
        <w:pStyle w:val="TextBody"/>
        <w:bidi w:val="0"/>
        <w:spacing w:before="0" w:after="120"/>
        <w:jc w:val="center"/>
        <w:rPr>
          <w:rFonts w:ascii="Times New Roman" w:hAnsi="Times New Roman"/>
          <w:sz w:val="20"/>
        </w:rPr>
      </w:pPr>
      <w:r>
        <w:rPr>
          <w:rFonts w:ascii="Times New Roman" w:hAnsi="Times New Roman"/>
          <w:b/>
          <w:color w:val="000000"/>
          <w:sz w:val="18"/>
        </w:rPr>
        <w:t>(Name and address of agent for service)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(781) 208-2466</w:t>
      </w:r>
    </w:p>
    <w:p>
      <w:pPr>
        <w:pStyle w:val="TextBody"/>
        <w:bidi w:val="0"/>
        <w:spacing w:before="0" w:after="120"/>
        <w:jc w:val="center"/>
        <w:rPr>
          <w:rFonts w:ascii="Times New Roman" w:hAnsi="Times New Roman"/>
          <w:b/>
          <w:color w:val="000000"/>
          <w:sz w:val="18"/>
        </w:rPr>
      </w:pPr>
      <w:r>
        <w:rPr>
          <w:rFonts w:ascii="Times New Roman" w:hAnsi="Times New Roman"/>
          <w:b/>
          <w:color w:val="000000"/>
          <w:sz w:val="18"/>
        </w:rPr>
        <w:t>(Telephone number, including area code, of agent for service)</w:t>
      </w:r>
    </w:p>
    <w:p>
      <w:pPr>
        <w:pStyle w:val="TextBody"/>
        <w:pBdr>
          <w:top w:val="single" w:sz="12"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i/>
          <w:color w:val="000000"/>
          <w:sz w:val="18"/>
        </w:rPr>
        <w:t>Copies to:</w:t>
      </w:r>
      <w:r>
        <w:rPr>
          <w:rFonts w:ascii="Times New Roman" w:hAnsi="Times New Roman"/>
          <w:b/>
          <w:color w:val="000000"/>
          <w:sz w:val="17"/>
        </w:rPr>
        <w:br/>
        <w:t>William D. Collins</w:t>
      </w:r>
    </w:p>
    <w:p>
      <w:pPr>
        <w:pStyle w:val="TextBody"/>
        <w:bidi w:val="0"/>
        <w:jc w:val="center"/>
        <w:rPr>
          <w:rFonts w:ascii="Times New Roman" w:hAnsi="Times New Roman"/>
          <w:b/>
          <w:color w:val="000000"/>
          <w:sz w:val="17"/>
        </w:rPr>
      </w:pPr>
      <w:r>
        <w:rPr>
          <w:rFonts w:ascii="Times New Roman" w:hAnsi="Times New Roman"/>
          <w:b/>
          <w:color w:val="000000"/>
          <w:sz w:val="17"/>
        </w:rPr>
        <w:t>Karin Yoo</w:t>
        <w:br/>
        <w:t>Goodwin Procter LLP</w:t>
        <w:br/>
        <w:t>100 Northern Avenue</w:t>
      </w:r>
    </w:p>
    <w:p>
      <w:pPr>
        <w:pStyle w:val="TextBody"/>
        <w:bidi w:val="0"/>
        <w:jc w:val="center"/>
        <w:rPr>
          <w:rFonts w:ascii="Times New Roman" w:hAnsi="Times New Roman"/>
          <w:b/>
          <w:color w:val="000000"/>
          <w:sz w:val="17"/>
        </w:rPr>
      </w:pPr>
      <w:r>
        <w:rPr>
          <w:rFonts w:ascii="Times New Roman" w:hAnsi="Times New Roman"/>
          <w:b/>
          <w:color w:val="000000"/>
          <w:sz w:val="17"/>
        </w:rPr>
        <w:t>Boston, Massachusetts 02210</w:t>
        <w:br/>
        <w:t>(617) 570-1000</w:t>
      </w:r>
    </w:p>
    <w:p>
      <w:pPr>
        <w:pStyle w:val="TextBody"/>
        <w:pBdr>
          <w:bottom w:val="single" w:sz="12" w:space="1" w:color="000000"/>
        </w:pBdr>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09" w:type="dxa"/>
        <w:jc w:val="left"/>
        <w:tblInd w:w="0" w:type="dxa"/>
        <w:tblLayout w:type="fixed"/>
        <w:tblCellMar>
          <w:top w:w="28" w:type="dxa"/>
          <w:left w:w="28" w:type="dxa"/>
          <w:bottom w:w="28" w:type="dxa"/>
          <w:right w:w="28"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This Registration Statement on Form S-8 (this “Registration Statement”) is being filed by Upstream Bio, Inc. (the “Registrant”) with the U.S. Securities and Exchange Commission (the “Commission”) to register 2,711,887 additional shares of the Registrant’s common stock, par value $0.001 per share (“Common Stock”), available for issuance under the Registrant’s 2024 Stock Option and Incentive Plan (the “Plan”), pursuant to the evergreen provisions of the Plan.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These additional shares are of the same class as other securities relating to the Plan for which the Registrant’s Registration Statements on Form S-8 filed with the Commission on October 11, 2024 (File No. 333-282614) and March 12, 2025 (File No. 333-285729) (the “Earlier Registration Statements”) are effective.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Pursuant to General Instruction E to Form S-8, the contents of the Earlier Registration Statements related to the Plan, except for “Item 8. Exhibits,” are incorporated herein by reference, except to the extent supplemented, amended or superseded by the information set forth herein. Only those items of Form S-8 containing new information not contained in the Earlier Registration Statements are presented herein. </w:t>
      </w:r>
    </w:p>
    <w:p>
      <w:pPr>
        <w:pStyle w:val="TextBody"/>
        <w:bidi w:val="0"/>
        <w:jc w:val="left"/>
        <w:rPr/>
      </w:pPr>
      <w:r>
        <w:rPr/>
        <w:t> </w:t>
      </w:r>
    </w:p>
    <w:p>
      <w:pPr>
        <w:pStyle w:val="TextBody"/>
        <w:bidi w:val="0"/>
        <w:spacing w:before="0" w:after="120"/>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br/>
      </w:r>
      <w:r>
        <w:rPr>
          <w:rFonts w:ascii="Times New Roman" w:hAnsi="Times New Roman"/>
          <w:b/>
          <w:color w:val="000000"/>
          <w:sz w:val="20"/>
        </w:rPr>
        <w:t>INFORMATION REQUIRED IN THE REGISTRATION STATEMENT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8. Exhibits.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exhibits to this Registration Statement are listed in the Exhibit Index attached hereto and incorporated by reference herein.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51"/>
        <w:gridCol w:w="1677"/>
        <w:gridCol w:w="7777"/>
      </w:tblGrid>
      <w:tr>
        <w:trPr/>
        <w:tc>
          <w:tcPr>
            <w:tcW w:w="75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7777"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br/>
              <w:t>No.</w:t>
            </w:r>
          </w:p>
        </w:tc>
        <w:tc>
          <w:tcPr>
            <w:tcW w:w="1677" w:type="dxa"/>
            <w:tcBorders/>
            <w:tcMar>
              <w:top w:w="0" w:type="dxa"/>
              <w:left w:w="0" w:type="dxa"/>
              <w:bottom w:w="0" w:type="dxa"/>
              <w:right w:w="0" w:type="dxa"/>
            </w:tcMar>
            <w:vAlign w:val="center"/>
          </w:tcPr>
          <w:p>
            <w:pPr>
              <w:pStyle w:val="TableContents"/>
              <w:bidi w:val="0"/>
              <w:spacing w:before="0" w:after="283"/>
              <w:ind w:left="0" w:right="0" w:firstLine="1531"/>
              <w:jc w:val="left"/>
              <w:rPr/>
            </w:pPr>
            <w:r>
              <w:rPr/>
              <w:t> </w:t>
            </w:r>
          </w:p>
        </w:tc>
        <w:tc>
          <w:tcPr>
            <w:tcW w:w="7777" w:type="dxa"/>
            <w:tcBorders>
              <w:bottom w:val="single" w:sz="8" w:space="0" w:color="000000"/>
            </w:tcBorders>
            <w:tcMar>
              <w:top w:w="0" w:type="dxa"/>
              <w:left w:w="0" w:type="dxa"/>
              <w:right w:w="0" w:type="dxa"/>
            </w:tcMar>
            <w:vAlign w:val="center"/>
          </w:tcPr>
          <w:p>
            <w:pPr>
              <w:pStyle w:val="TableContents"/>
              <w:bidi w:val="0"/>
              <w:spacing w:before="0" w:after="283"/>
              <w:ind w:left="0" w:right="0" w:firstLine="1531"/>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677"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Third Amended and Restated Certificate of Incorporation of Upstream Bio, Inc. (incorporated by reference to Exhibit 3.1 to the Registrant’s Current Report on Form 8-K (File No. 001-42366) filed on October 15, 2024).</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677"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Amended and Restated Bylaws of Upstream Bio, Inc. (incorporated by reference to Exhibit 3.2 to the Registrant’s Current Report on Form 8-K (File No. 001-42366) filed on October 15, 2024).</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677"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Investors’ Rights Agreement, among the Registrant and certain of its stockholders, dated June 6, 2023 (incorporated by reference to Exhibit 4.2 to the Registrant’s Registration Statement on Form S-1 (File No. 333-282197) filed on September 18, 2024).</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677"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tcBorders/>
            <w:tcMar>
              <w:top w:w="0" w:type="dxa"/>
              <w:left w:w="0" w:type="dxa"/>
              <w:bottom w:w="0" w:type="dxa"/>
              <w:right w:w="0" w:type="dxa"/>
            </w:tcMar>
            <w:vAlign w:val="center"/>
          </w:tcPr>
          <w:p>
            <w:pPr>
              <w:pStyle w:val="TableContents"/>
              <w:bidi w:val="0"/>
              <w:spacing w:before="0" w:after="283"/>
              <w:jc w:val="left"/>
              <w:rPr/>
            </w:pPr>
            <w:hyperlink w:anchor="upb-ex5_1.htm">
              <w:r>
                <w:rPr>
                  <w:rStyle w:val="InternetLink"/>
                  <w:rFonts w:ascii="Times New Roman" w:hAnsi="Times New Roman"/>
                  <w:color w:val="0000FF"/>
                  <w:sz w:val="20"/>
                  <w:u w:val="single"/>
                </w:rPr>
                <w:t>Opinion of Goodwin Procter LLP.</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677"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tcBorders/>
            <w:tcMar>
              <w:top w:w="0" w:type="dxa"/>
              <w:left w:w="0" w:type="dxa"/>
              <w:bottom w:w="0" w:type="dxa"/>
              <w:right w:w="0" w:type="dxa"/>
            </w:tcMar>
            <w:vAlign w:val="center"/>
          </w:tcPr>
          <w:p>
            <w:pPr>
              <w:pStyle w:val="TableContents"/>
              <w:bidi w:val="0"/>
              <w:spacing w:before="0" w:after="283"/>
              <w:jc w:val="left"/>
              <w:rPr/>
            </w:pPr>
            <w:hyperlink w:anchor="upb-ex23_1.htm">
              <w:r>
                <w:rPr>
                  <w:rStyle w:val="InternetLink"/>
                  <w:rFonts w:ascii="Times New Roman" w:hAnsi="Times New Roman"/>
                  <w:color w:val="0000FF"/>
                  <w:sz w:val="20"/>
                  <w:u w:val="single"/>
                </w:rPr>
                <w:t>Consent of PricewaterhouseCoopers LLP, Independent Registered Public Accounting Firm.</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677"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tcBorders/>
            <w:tcMar>
              <w:top w:w="0" w:type="dxa"/>
              <w:left w:w="0" w:type="dxa"/>
              <w:bottom w:w="0" w:type="dxa"/>
              <w:right w:w="0" w:type="dxa"/>
            </w:tcMar>
            <w:vAlign w:val="center"/>
          </w:tcPr>
          <w:p>
            <w:pPr>
              <w:pStyle w:val="TableContents"/>
              <w:bidi w:val="0"/>
              <w:spacing w:before="0" w:after="283"/>
              <w:jc w:val="left"/>
              <w:rPr/>
            </w:pPr>
            <w:hyperlink w:anchor="upb-ex5_1.htm">
              <w:r>
                <w:rPr>
                  <w:rStyle w:val="InternetLink"/>
                  <w:rFonts w:ascii="Times New Roman" w:hAnsi="Times New Roman"/>
                  <w:color w:val="0000FF"/>
                  <w:sz w:val="20"/>
                  <w:u w:val="single"/>
                </w:rPr>
                <w:t>Consent of Goodwin Procter LLP (included in Exhibit 5.1).</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677"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tcBorders/>
            <w:tcMar>
              <w:top w:w="0" w:type="dxa"/>
              <w:left w:w="0" w:type="dxa"/>
              <w:bottom w:w="0" w:type="dxa"/>
              <w:right w:w="0" w:type="dxa"/>
            </w:tcMar>
            <w:vAlign w:val="center"/>
          </w:tcPr>
          <w:p>
            <w:pPr>
              <w:pStyle w:val="TableContents"/>
              <w:bidi w:val="0"/>
              <w:spacing w:before="0" w:after="283"/>
              <w:jc w:val="left"/>
              <w:rPr/>
            </w:pPr>
            <w:hyperlink w:anchor="poa">
              <w:r>
                <w:rPr>
                  <w:rStyle w:val="InternetLink"/>
                  <w:rFonts w:ascii="Times New Roman" w:hAnsi="Times New Roman"/>
                  <w:color w:val="0000FF"/>
                  <w:sz w:val="20"/>
                  <w:u w:val="single"/>
                </w:rPr>
                <w:t>Power of Attorney (included on signature page).</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677"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Upstream Bio, Inc. 2024 Stock Option and Incentive Plan and form of award agreements thereunder (incorporated by reference to Exhibit 10.2 to Amendment No. 1 to the Registrant’s Registration Statement on Form S-1 (File No. 333-282197) filed on October 7, 2024).</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677"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tcBorders/>
            <w:tcMar>
              <w:top w:w="0" w:type="dxa"/>
              <w:left w:w="0" w:type="dxa"/>
              <w:bottom w:w="0" w:type="dxa"/>
              <w:right w:w="0" w:type="dxa"/>
            </w:tcMar>
            <w:vAlign w:val="center"/>
          </w:tcPr>
          <w:p>
            <w:pPr>
              <w:pStyle w:val="TableContents"/>
              <w:bidi w:val="0"/>
              <w:spacing w:before="0" w:after="283"/>
              <w:jc w:val="left"/>
              <w:rPr/>
            </w:pPr>
            <w:hyperlink w:anchor="upb_exfilingfees.htm">
              <w:r>
                <w:rPr>
                  <w:rStyle w:val="InternetLink"/>
                  <w:rFonts w:ascii="Times New Roman" w:hAnsi="Times New Roman"/>
                  <w:color w:val="0000FF"/>
                  <w:sz w:val="20"/>
                  <w:u w:val="single"/>
                </w:rPr>
                <w:t>Filing Fee Table.</w:t>
              </w:r>
            </w:hyperlink>
          </w:p>
        </w:tc>
      </w:tr>
    </w:tbl>
    <w:p>
      <w:pPr>
        <w:pStyle w:val="TextBody"/>
        <w:bidi w:val="0"/>
        <w:jc w:val="left"/>
        <w:rPr/>
      </w:pPr>
      <w:r>
        <w:rPr/>
        <w:t> </w:t>
      </w:r>
    </w:p>
    <w:p>
      <w:pPr>
        <w:pStyle w:val="TextBody"/>
        <w:pBdr>
          <w:top w:val="single" w:sz="4" w:space="1" w:color="000000"/>
        </w:pBdr>
        <w:bidi w:val="0"/>
        <w:spacing w:before="0" w:after="12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Waltham, Massachusetts, on this 26</w:t>
      </w:r>
      <w:r>
        <w:rPr>
          <w:rFonts w:ascii="Times New Roman" w:hAnsi="Times New Roman"/>
          <w:color w:val="000000"/>
          <w:sz w:val="13"/>
        </w:rPr>
        <w:t>th</w:t>
      </w:r>
      <w:r>
        <w:rPr>
          <w:rFonts w:ascii="Times New Roman" w:hAnsi="Times New Roman"/>
          <w:color w:val="000000"/>
          <w:sz w:val="20"/>
        </w:rPr>
        <w:t xml:space="preserve"> day of March, 2026.</w:t>
      </w:r>
    </w:p>
    <w:tbl>
      <w:tblPr>
        <w:tblW w:w="3358" w:type="dxa"/>
        <w:jc w:val="left"/>
        <w:tblInd w:w="0" w:type="dxa"/>
        <w:tblLayout w:type="fixed"/>
        <w:tblCellMar>
          <w:top w:w="28" w:type="dxa"/>
          <w:left w:w="28" w:type="dxa"/>
          <w:bottom w:w="28" w:type="dxa"/>
          <w:right w:w="28" w:type="dxa"/>
        </w:tblCellMar>
      </w:tblPr>
      <w:tblGrid>
        <w:gridCol w:w="421"/>
        <w:gridCol w:w="146"/>
        <w:gridCol w:w="279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rPr>
            </w:pPr>
            <w:r>
              <w:rPr>
                <w:rFonts w:ascii="Times New Roman" w:hAnsi="Times New Roman"/>
                <w:b/>
                <w:color w:val="000000"/>
                <w:sz w:val="20"/>
              </w:rPr>
              <w:t>UPSTREAM BIO,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 Rand Sutherland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E. Rand Sutherland, M.D.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jc w:val="left"/>
        <w:rPr/>
      </w:pPr>
      <w:r>
        <w:rPr/>
        <w:t> </w:t>
      </w:r>
    </w:p>
    <w:p>
      <w:pPr>
        <w:pStyle w:val="TextBody"/>
        <w:bidi w:val="0"/>
        <w:jc w:val="center"/>
        <w:rPr>
          <w:rFonts w:ascii="Times New Roman" w:hAnsi="Times New Roman"/>
          <w:b/>
          <w:color w:val="000000"/>
          <w:sz w:val="20"/>
        </w:rPr>
      </w:pPr>
      <w:bookmarkStart w:id="2" w:name="poa"/>
      <w:bookmarkEnd w:id="2"/>
      <w:r>
        <w:rPr>
          <w:rFonts w:ascii="Times New Roman" w:hAnsi="Times New Roman"/>
          <w:b/>
          <w:color w:val="000000"/>
          <w:sz w:val="20"/>
        </w:rPr>
        <w:t>POWER OF ATTORNEY AND 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individual whose signature appears below hereby constitutes and appoints each of E. Rand Sutherland, M.D. and Michael Paul Gray, M.B.A.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by the following persons in the capacities and on the date indicated.</w:t>
      </w:r>
    </w:p>
    <w:p>
      <w:pPr>
        <w:pStyle w:val="TextBody"/>
        <w:bidi w:val="0"/>
        <w:jc w:val="left"/>
        <w:rPr/>
      </w:pPr>
      <w:r>
        <w:rPr/>
        <w:t> </w:t>
      </w:r>
    </w:p>
    <w:tbl>
      <w:tblPr>
        <w:tblW w:w="10158" w:type="dxa"/>
        <w:jc w:val="left"/>
        <w:tblInd w:w="0" w:type="dxa"/>
        <w:tblLayout w:type="fixed"/>
        <w:tblCellMar>
          <w:top w:w="28" w:type="dxa"/>
          <w:left w:w="28" w:type="dxa"/>
          <w:bottom w:w="28" w:type="dxa"/>
          <w:right w:w="28" w:type="dxa"/>
        </w:tblCellMar>
      </w:tblPr>
      <w:tblGrid>
        <w:gridCol w:w="3451"/>
        <w:gridCol w:w="5266"/>
        <w:gridCol w:w="1441"/>
      </w:tblGrid>
      <w:tr>
        <w:trPr/>
        <w:tc>
          <w:tcPr>
            <w:tcW w:w="3451"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18"/>
              </w:rPr>
            </w:pPr>
            <w:r>
              <w:rPr>
                <w:rFonts w:ascii="Times New Roman" w:hAnsi="Times New Roman"/>
                <w:b/>
                <w:color w:val="000000"/>
                <w:sz w:val="18"/>
              </w:rPr>
              <w:t>Name</w:t>
            </w:r>
          </w:p>
        </w:tc>
        <w:tc>
          <w:tcPr>
            <w:tcW w:w="526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18"/>
              </w:rPr>
            </w:pPr>
            <w:r>
              <w:rPr>
                <w:rFonts w:ascii="Times New Roman" w:hAnsi="Times New Roman"/>
                <w:b/>
                <w:color w:val="000000"/>
                <w:sz w:val="18"/>
              </w:rPr>
              <w:t>Title</w:t>
            </w:r>
          </w:p>
        </w:tc>
        <w:tc>
          <w:tcPr>
            <w:tcW w:w="144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18"/>
              </w:rPr>
            </w:pPr>
            <w:r>
              <w:rPr>
                <w:rFonts w:ascii="Times New Roman" w:hAnsi="Times New Roman"/>
                <w:b/>
                <w:color w:val="000000"/>
                <w:sz w:val="18"/>
              </w:rPr>
              <w:t>Date</w:t>
            </w:r>
          </w:p>
        </w:tc>
      </w:tr>
      <w:tr>
        <w:trPr/>
        <w:tc>
          <w:tcPr>
            <w:tcW w:w="3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 Rand Sutherland</w:t>
            </w:r>
          </w:p>
        </w:tc>
        <w:tc>
          <w:tcPr>
            <w:tcW w:w="5266"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w:t>
              <w:br/>
              <w:t>Director</w:t>
            </w:r>
          </w:p>
          <w:p>
            <w:pPr>
              <w:pStyle w:val="TableContents"/>
              <w:bidi w:val="0"/>
              <w:spacing w:before="0" w:after="12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441" w:type="dxa"/>
            <w:vMerge w:val="restart"/>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March 26, 2026</w:t>
            </w:r>
          </w:p>
        </w:tc>
      </w:tr>
      <w:tr>
        <w:trPr/>
        <w:tc>
          <w:tcPr>
            <w:tcW w:w="3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 Rand Sutherland, M.D.</w:t>
            </w:r>
          </w:p>
        </w:tc>
        <w:tc>
          <w:tcPr>
            <w:tcW w:w="52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3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Paul Gray</w:t>
            </w:r>
          </w:p>
        </w:tc>
        <w:tc>
          <w:tcPr>
            <w:tcW w:w="5266"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12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c>
          <w:tcPr>
            <w:tcW w:w="1441" w:type="dxa"/>
            <w:vMerge w:val="restart"/>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March 26, 2026</w:t>
            </w:r>
          </w:p>
          <w:p>
            <w:pPr>
              <w:pStyle w:val="TableContents"/>
              <w:bidi w:val="0"/>
              <w:spacing w:before="0" w:after="283"/>
              <w:jc w:val="left"/>
              <w:rPr/>
            </w:pPr>
            <w:r>
              <w:rPr/>
              <w:t> </w:t>
            </w:r>
          </w:p>
        </w:tc>
      </w:tr>
      <w:tr>
        <w:trPr/>
        <w:tc>
          <w:tcPr>
            <w:tcW w:w="3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Paul Gray, M.B.A.</w:t>
            </w:r>
          </w:p>
        </w:tc>
        <w:tc>
          <w:tcPr>
            <w:tcW w:w="52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3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Ronald C. Renaud, Jr.</w:t>
            </w:r>
          </w:p>
        </w:tc>
        <w:tc>
          <w:tcPr>
            <w:tcW w:w="5266" w:type="dxa"/>
            <w:vMerge w:val="restart"/>
            <w:tcBorders>
              <w:bottom w:val="single" w:sz="4" w:space="0" w:color="000000"/>
            </w:tcBorders>
            <w:tcMar>
              <w:top w:w="0" w:type="dxa"/>
              <w:left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Director and Chairman</w:t>
            </w:r>
          </w:p>
        </w:tc>
        <w:tc>
          <w:tcPr>
            <w:tcW w:w="1441" w:type="dxa"/>
            <w:vMerge w:val="restart"/>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March 26, 2026</w:t>
            </w:r>
          </w:p>
          <w:p>
            <w:pPr>
              <w:pStyle w:val="TableContents"/>
              <w:bidi w:val="0"/>
              <w:spacing w:before="0" w:after="283"/>
              <w:jc w:val="left"/>
              <w:rPr/>
            </w:pPr>
            <w:r>
              <w:rPr/>
              <w:t> </w:t>
            </w:r>
          </w:p>
        </w:tc>
      </w:tr>
      <w:tr>
        <w:trPr/>
        <w:tc>
          <w:tcPr>
            <w:tcW w:w="34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Ronald C. Renaud, Jr., M.B.A.</w:t>
            </w:r>
          </w:p>
        </w:tc>
        <w:tc>
          <w:tcPr>
            <w:tcW w:w="52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3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Daniella Beckman</w:t>
            </w:r>
          </w:p>
        </w:tc>
        <w:tc>
          <w:tcPr>
            <w:tcW w:w="5266" w:type="dxa"/>
            <w:vMerge w:val="restart"/>
            <w:tcBorders>
              <w:bottom w:val="single" w:sz="4" w:space="0" w:color="000000"/>
            </w:tcBorders>
            <w:tcMar>
              <w:top w:w="0" w:type="dxa"/>
              <w:left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Director</w:t>
            </w:r>
          </w:p>
        </w:tc>
        <w:tc>
          <w:tcPr>
            <w:tcW w:w="1441" w:type="dxa"/>
            <w:vMerge w:val="restart"/>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March 26, 2026</w:t>
            </w:r>
          </w:p>
          <w:p>
            <w:pPr>
              <w:pStyle w:val="TableContents"/>
              <w:bidi w:val="0"/>
              <w:spacing w:before="0" w:after="283"/>
              <w:jc w:val="left"/>
              <w:rPr/>
            </w:pPr>
            <w:r>
              <w:rPr/>
              <w:t> </w:t>
            </w:r>
          </w:p>
        </w:tc>
      </w:tr>
      <w:tr>
        <w:trPr/>
        <w:tc>
          <w:tcPr>
            <w:tcW w:w="34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Daniella Beckman</w:t>
            </w:r>
          </w:p>
        </w:tc>
        <w:tc>
          <w:tcPr>
            <w:tcW w:w="52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3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Erez Chimovits</w:t>
            </w:r>
          </w:p>
        </w:tc>
        <w:tc>
          <w:tcPr>
            <w:tcW w:w="5266" w:type="dxa"/>
            <w:vMerge w:val="restart"/>
            <w:tcBorders>
              <w:bottom w:val="single" w:sz="4" w:space="0" w:color="000000"/>
            </w:tcBorders>
            <w:tcMar>
              <w:top w:w="0" w:type="dxa"/>
              <w:left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Director</w:t>
            </w:r>
          </w:p>
        </w:tc>
        <w:tc>
          <w:tcPr>
            <w:tcW w:w="1441" w:type="dxa"/>
            <w:vMerge w:val="restart"/>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March 26, 2026</w:t>
            </w:r>
          </w:p>
          <w:p>
            <w:pPr>
              <w:pStyle w:val="TableContents"/>
              <w:bidi w:val="0"/>
              <w:spacing w:before="0" w:after="283"/>
              <w:jc w:val="left"/>
              <w:rPr/>
            </w:pPr>
            <w:r>
              <w:rPr/>
              <w:t> </w:t>
            </w:r>
          </w:p>
        </w:tc>
      </w:tr>
      <w:tr>
        <w:trPr/>
        <w:tc>
          <w:tcPr>
            <w:tcW w:w="34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Erez Chimovits, M.B.A., M.Sc.</w:t>
            </w:r>
          </w:p>
        </w:tc>
        <w:tc>
          <w:tcPr>
            <w:tcW w:w="52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3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 Edward Fleming, Jr.</w:t>
            </w:r>
          </w:p>
        </w:tc>
        <w:tc>
          <w:tcPr>
            <w:tcW w:w="5266" w:type="dxa"/>
            <w:vMerge w:val="restart"/>
            <w:tcBorders>
              <w:bottom w:val="single" w:sz="4" w:space="0" w:color="000000"/>
            </w:tcBorders>
            <w:tcMar>
              <w:top w:w="0" w:type="dxa"/>
              <w:left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Director</w:t>
            </w:r>
          </w:p>
        </w:tc>
        <w:tc>
          <w:tcPr>
            <w:tcW w:w="1441" w:type="dxa"/>
            <w:vMerge w:val="restart"/>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March 26, 2026</w:t>
            </w:r>
          </w:p>
          <w:p>
            <w:pPr>
              <w:pStyle w:val="TableContents"/>
              <w:bidi w:val="0"/>
              <w:spacing w:before="0" w:after="283"/>
              <w:jc w:val="left"/>
              <w:rPr/>
            </w:pPr>
            <w:r>
              <w:rPr/>
              <w:t> </w:t>
            </w:r>
          </w:p>
        </w:tc>
      </w:tr>
      <w:tr>
        <w:trPr/>
        <w:tc>
          <w:tcPr>
            <w:tcW w:w="34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H. Edward Fleming, Jr., M.D.</w:t>
            </w:r>
          </w:p>
        </w:tc>
        <w:tc>
          <w:tcPr>
            <w:tcW w:w="52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3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Liam Ratcliffe</w:t>
            </w:r>
          </w:p>
        </w:tc>
        <w:tc>
          <w:tcPr>
            <w:tcW w:w="5266" w:type="dxa"/>
            <w:vMerge w:val="restart"/>
            <w:tcBorders>
              <w:bottom w:val="single" w:sz="4" w:space="0" w:color="000000"/>
            </w:tcBorders>
            <w:tcMar>
              <w:top w:w="0" w:type="dxa"/>
              <w:left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Director</w:t>
            </w:r>
          </w:p>
        </w:tc>
        <w:tc>
          <w:tcPr>
            <w:tcW w:w="1441" w:type="dxa"/>
            <w:vMerge w:val="restart"/>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March 26, 2026</w:t>
            </w:r>
          </w:p>
          <w:p>
            <w:pPr>
              <w:pStyle w:val="TableContents"/>
              <w:bidi w:val="0"/>
              <w:spacing w:before="0" w:after="283"/>
              <w:jc w:val="left"/>
              <w:rPr/>
            </w:pPr>
            <w:r>
              <w:rPr/>
              <w:t> </w:t>
            </w:r>
          </w:p>
        </w:tc>
      </w:tr>
      <w:tr>
        <w:trPr/>
        <w:tc>
          <w:tcPr>
            <w:tcW w:w="34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Liam Ratcliffe, M.B.Ch.B., Ph.D., M.B.A.</w:t>
            </w:r>
          </w:p>
        </w:tc>
        <w:tc>
          <w:tcPr>
            <w:tcW w:w="52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41" w:type="dxa"/>
            <w:vMerge w:val="continue"/>
            <w:tcBorders/>
            <w:tcMar>
              <w:top w:w="0" w:type="dxa"/>
              <w:left w:w="0" w:type="dxa"/>
              <w:bottom w:w="0" w:type="dxa"/>
              <w:right w:w="0" w:type="dxa"/>
            </w:tcMar>
            <w:vAlign w:val="center"/>
          </w:tcPr>
          <w:p>
            <w:pPr>
              <w:pStyle w:val="Normal"/>
              <w:bidi w:val="0"/>
              <w:jc w:val="left"/>
              <w:rPr/>
            </w:pPr>
            <w:r>
              <w:rPr/>
            </w:r>
          </w:p>
        </w:tc>
      </w:tr>
      <w:tr>
        <w:trPr/>
        <w:tc>
          <w:tcPr>
            <w:tcW w:w="3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Marcella Kuhlman Ruddy</w:t>
            </w:r>
          </w:p>
        </w:tc>
        <w:tc>
          <w:tcPr>
            <w:tcW w:w="5266" w:type="dxa"/>
            <w:vMerge w:val="restart"/>
            <w:tcBorders>
              <w:bottom w:val="single" w:sz="4" w:space="0" w:color="000000"/>
            </w:tcBorders>
            <w:tcMar>
              <w:top w:w="0" w:type="dxa"/>
              <w:left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Director</w:t>
            </w:r>
          </w:p>
        </w:tc>
        <w:tc>
          <w:tcPr>
            <w:tcW w:w="1441" w:type="dxa"/>
            <w:vMerge w:val="restart"/>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March 26, 2026</w:t>
            </w:r>
          </w:p>
          <w:p>
            <w:pPr>
              <w:pStyle w:val="TableContents"/>
              <w:bidi w:val="0"/>
              <w:spacing w:before="0" w:after="283"/>
              <w:jc w:val="left"/>
              <w:rPr/>
            </w:pPr>
            <w:r>
              <w:rPr/>
              <w:t> </w:t>
            </w:r>
          </w:p>
        </w:tc>
      </w:tr>
      <w:tr>
        <w:trPr/>
        <w:tc>
          <w:tcPr>
            <w:tcW w:w="34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Marcella Kuhlman Ruddy, M.D., M.S.</w:t>
            </w:r>
          </w:p>
          <w:p>
            <w:pPr>
              <w:pStyle w:val="TableContents"/>
              <w:bidi w:val="0"/>
              <w:spacing w:before="0" w:after="283"/>
              <w:jc w:val="center"/>
              <w:rPr/>
            </w:pPr>
            <w:r>
              <w:rPr/>
              <w:t> </w:t>
            </w:r>
          </w:p>
        </w:tc>
        <w:tc>
          <w:tcPr>
            <w:tcW w:w="52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4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upb-ex5_1.htm"/>
      <w:bookmarkStart w:id="4" w:name="ksupbex5_1"/>
      <w:bookmarkEnd w:id="3"/>
      <w:bookmarkEnd w:id="4"/>
      <w:r>
        <w:rPr>
          <w:rFonts w:ascii="Times New Roman" w:hAnsi="Times New Roman"/>
          <w:b/>
          <w:color w:val="000000"/>
          <w:sz w:val="20"/>
        </w:rPr>
        <w:t>Exhibit 5.1</w:t>
      </w:r>
      <w:r>
        <w:br w:type="page"/>
      </w:r>
    </w:p>
    <w:p>
      <w:pPr>
        <w:pStyle w:val="TextBody"/>
        <w:bidi w:val="0"/>
        <w:spacing w:before="200" w:after="283"/>
        <w:jc w:val="right"/>
        <w:rPr>
          <w:rFonts w:ascii="Times New Roman" w:hAnsi="Times New Roman"/>
          <w:color w:val="000000"/>
          <w:sz w:val="20"/>
        </w:rPr>
      </w:pPr>
      <w:r>
        <w:rPr>
          <w:rFonts w:ascii="Times New Roman" w:hAnsi="Times New Roman"/>
          <w:color w:val="000000"/>
          <w:sz w:val="20"/>
        </w:rPr>
        <w:t>March 26,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Upstream Bio, Inc.</w:t>
      </w:r>
    </w:p>
    <w:p>
      <w:pPr>
        <w:pStyle w:val="TextBody"/>
        <w:bidi w:val="0"/>
        <w:jc w:val="left"/>
        <w:rPr>
          <w:rFonts w:ascii="Times New Roman" w:hAnsi="Times New Roman"/>
          <w:color w:val="000000"/>
          <w:sz w:val="20"/>
        </w:rPr>
      </w:pPr>
      <w:r>
        <w:rPr>
          <w:rFonts w:ascii="Times New Roman" w:hAnsi="Times New Roman"/>
          <w:color w:val="000000"/>
          <w:sz w:val="20"/>
        </w:rPr>
        <w:t>890 Winter Street, Suite 200</w:t>
      </w:r>
    </w:p>
    <w:p>
      <w:pPr>
        <w:pStyle w:val="TextBody"/>
        <w:bidi w:val="0"/>
        <w:jc w:val="left"/>
        <w:rPr>
          <w:rFonts w:ascii="Times New Roman" w:hAnsi="Times New Roman"/>
          <w:color w:val="000000"/>
          <w:sz w:val="20"/>
        </w:rPr>
      </w:pPr>
      <w:r>
        <w:rPr>
          <w:rFonts w:ascii="Times New Roman" w:hAnsi="Times New Roman"/>
          <w:color w:val="000000"/>
          <w:sz w:val="20"/>
        </w:rPr>
        <w:t>Waltham, Massachusetts 02451</w:t>
      </w:r>
    </w:p>
    <w:p>
      <w:pPr>
        <w:pStyle w:val="TextBody"/>
        <w:bidi w:val="0"/>
        <w:jc w:val="left"/>
        <w:rPr/>
      </w:pPr>
      <w:r>
        <w:rPr/>
        <w:t> </w:t>
      </w:r>
    </w:p>
    <w:tbl>
      <w:tblPr>
        <w:tblW w:w="6257" w:type="dxa"/>
        <w:jc w:val="left"/>
        <w:tblInd w:w="0" w:type="dxa"/>
        <w:tblLayout w:type="fixed"/>
        <w:tblCellMar>
          <w:top w:w="28" w:type="dxa"/>
          <w:left w:w="28" w:type="dxa"/>
          <w:bottom w:w="28" w:type="dxa"/>
          <w:right w:w="28" w:type="dxa"/>
        </w:tblCellMar>
      </w:tblPr>
      <w:tblGrid>
        <w:gridCol w:w="406"/>
        <w:gridCol w:w="5851"/>
      </w:tblGrid>
      <w:tr>
        <w:trPr/>
        <w:tc>
          <w:tcPr>
            <w:tcW w:w="406" w:type="dxa"/>
            <w:tcBorders/>
            <w:vAlign w:val="center"/>
          </w:tcPr>
          <w:p>
            <w:pPr>
              <w:pStyle w:val="TableContents"/>
              <w:bidi w:val="0"/>
              <w:spacing w:before="0" w:after="283"/>
              <w:jc w:val="left"/>
              <w:rPr>
                <w:sz w:val="4"/>
                <w:szCs w:val="4"/>
              </w:rPr>
            </w:pPr>
            <w:r>
              <w:rPr>
                <w:sz w:val="4"/>
                <w:szCs w:val="4"/>
              </w:rPr>
            </w:r>
          </w:p>
        </w:tc>
        <w:tc>
          <w:tcPr>
            <w:tcW w:w="5851"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Securities Being Registered under Registration Statement on Form S-8</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acted as your counsel in connection with your filing of a Registration Statement on Form S-8 (the “Registration Statement”) pursuant to the Securities Act of 1933, as amended (the “Securities Act”), on or about the date hereof relating to an aggregate of 2,711,887 shares (the “Shares”) of Common Stock, par value $0.001 per share (“Common Stock”), of Upstream Bio, Inc., a Delaware corporation (the “Company”), that may be issued pursuant to the Company’s 2024 Stock Option and Incentive Plan (the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opinion set forth below is limited to the Delaware General Corporation Law.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Based on the foregoing, we are of the opinion that the Shares have been duly authorized and, when delivered against payment therefor in accordance with the terms of the Plan, will be validly issued, fully paid and nonassessable.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This opinion letter and the opinion it contains shall be interpreted in accordance with the Core Opinion Principles as published in 74 </w:t>
      </w:r>
      <w:r>
        <w:rPr>
          <w:rFonts w:ascii="Times New Roman" w:hAnsi="Times New Roman"/>
          <w:i/>
          <w:color w:val="000000"/>
          <w:sz w:val="20"/>
        </w:rPr>
        <w:t>Business Lawyer</w:t>
      </w:r>
      <w:r>
        <w:rPr>
          <w:rFonts w:ascii="Times New Roman" w:hAnsi="Times New Roman"/>
          <w:color w:val="000000"/>
          <w:sz w:val="20"/>
        </w:rPr>
        <w:t xml:space="preserve"> 815 (Summer 2019).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truly yours,</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Goodwin Procter LLP</w:t>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GOODWIN PROCTER LLP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480" w:after="283"/>
        <w:jc w:val="right"/>
        <w:rPr>
          <w:rFonts w:ascii="Georgia;serif" w:hAnsi="Georgia;serif"/>
          <w:b/>
          <w:color w:val="000000"/>
          <w:sz w:val="20"/>
        </w:rPr>
      </w:pPr>
      <w:bookmarkStart w:id="5" w:name="upb-ex23_1.htm"/>
      <w:bookmarkStart w:id="6" w:name="ksupbex23_1"/>
      <w:bookmarkEnd w:id="5"/>
      <w:bookmarkEnd w:id="6"/>
      <w:r>
        <w:rPr>
          <w:rFonts w:ascii="Georgia;serif" w:hAnsi="Georgia;serif"/>
          <w:b/>
          <w:color w:val="000000"/>
          <w:sz w:val="20"/>
        </w:rPr>
        <w:t>Exhibit 23.1</w:t>
      </w:r>
      <w:r>
        <w:br w:type="page"/>
      </w:r>
    </w:p>
    <w:p>
      <w:pPr>
        <w:pStyle w:val="TextBody"/>
        <w:bidi w:val="0"/>
        <w:spacing w:before="480" w:after="283"/>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480" w:after="283"/>
        <w:jc w:val="left"/>
        <w:rPr>
          <w:rFonts w:ascii="Times New Roman" w:hAnsi="Times New Roman"/>
          <w:sz w:val="20"/>
        </w:rPr>
      </w:pPr>
      <w:r>
        <w:rPr>
          <w:rFonts w:ascii="Georgia;serif" w:hAnsi="Georgia;serif"/>
          <w:color w:val="000000"/>
          <w:sz w:val="20"/>
        </w:rPr>
        <w:t>We hereby consent to the incorporation by reference in this Registration Statement on Form S-8 of Upstream Bio, Inc. of our report dated March 26, 2026 relating to the financial statements, which appears in Upstream Bio, Inc.'s Annual Report on Form 10-K for the year ended December 31, 2025.</w:t>
      </w:r>
      <w:r>
        <w:rPr>
          <w:rFonts w:ascii="Times New Roman" w:hAnsi="Times New Roman"/>
          <w:color w:val="000000"/>
          <w:sz w:val="20"/>
        </w:rPr>
        <w:t xml:space="preserve"> </w:t>
      </w:r>
    </w:p>
    <w:p>
      <w:pPr>
        <w:pStyle w:val="TextBody"/>
        <w:bidi w:val="0"/>
        <w:spacing w:before="480" w:after="283"/>
        <w:jc w:val="left"/>
        <w:rPr>
          <w:rFonts w:ascii="Georgia;serif" w:hAnsi="Georgia;serif"/>
          <w:color w:val="000000"/>
          <w:sz w:val="20"/>
        </w:rPr>
      </w:pPr>
      <w:r>
        <w:rPr>
          <w:rFonts w:ascii="Georgia;serif" w:hAnsi="Georgia;serif"/>
          <w:color w:val="000000"/>
          <w:sz w:val="20"/>
        </w:rPr>
        <w:t>/s/ PricewaterhouseCoopers LLP</w:t>
      </w:r>
    </w:p>
    <w:p>
      <w:pPr>
        <w:pStyle w:val="TextBody"/>
        <w:bidi w:val="0"/>
        <w:jc w:val="left"/>
        <w:rPr>
          <w:rFonts w:ascii="Georgia;serif" w:hAnsi="Georgia;serif"/>
          <w:color w:val="000000"/>
          <w:sz w:val="20"/>
        </w:rPr>
      </w:pPr>
      <w:r>
        <w:rPr>
          <w:rFonts w:ascii="Georgia;serif" w:hAnsi="Georgia;serif"/>
          <w:color w:val="000000"/>
          <w:sz w:val="20"/>
        </w:rPr>
        <w:t>Boston, Massachusetts</w:t>
      </w:r>
    </w:p>
    <w:p>
      <w:pPr>
        <w:pStyle w:val="TextBody"/>
        <w:bidi w:val="0"/>
        <w:jc w:val="left"/>
        <w:rPr>
          <w:rFonts w:ascii="Georgia;serif" w:hAnsi="Georgia;serif"/>
          <w:color w:val="000000"/>
          <w:sz w:val="20"/>
        </w:rPr>
      </w:pPr>
      <w:r>
        <w:rPr>
          <w:rFonts w:ascii="Georgia;serif" w:hAnsi="Georgia;serif"/>
          <w:color w:val="000000"/>
          <w:sz w:val="20"/>
        </w:rPr>
        <w:t>March 26, 2026</w:t>
      </w:r>
    </w:p>
    <w:p>
      <w:pPr>
        <w:pStyle w:val="HorizontalLine"/>
        <w:pBdr>
          <w:bottom w:val="double" w:sz="2" w:space="0" w:color="808080"/>
        </w:pBdr>
        <w:bidi w:val="0"/>
        <w:spacing w:before="0" w:after="283"/>
        <w:jc w:val="left"/>
        <w:rPr/>
      </w:pPr>
      <w:r>
        <w:rPr/>
      </w:r>
    </w:p>
    <w:p>
      <w:pPr>
        <w:pStyle w:val="TextBody"/>
        <w:bidi w:val="0"/>
        <w:jc w:val="right"/>
        <w:rPr/>
      </w:pPr>
      <w:bookmarkStart w:id="7" w:name="upb_exfilingfees.htm"/>
      <w:bookmarkStart w:id="8" w:name="ksupb_exfilingfees"/>
      <w:bookmarkEnd w:id="7"/>
      <w:bookmarkEnd w:id="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107</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Form S-8</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(Form Type) </w:t>
      </w:r>
    </w:p>
    <w:p>
      <w:pPr>
        <w:pStyle w:val="TextBody"/>
        <w:bidi w:val="0"/>
        <w:spacing w:before="240" w:after="283"/>
        <w:jc w:val="center"/>
        <w:rPr>
          <w:rFonts w:ascii="Times New Roman" w:hAnsi="Times New Roman"/>
          <w:sz w:val="20"/>
        </w:rPr>
      </w:pPr>
      <w:r>
        <w:rPr>
          <w:rFonts w:ascii="Times New Roman" w:hAnsi="Times New Roman"/>
          <w:b/>
          <w:color w:val="000000"/>
          <w:sz w:val="20"/>
        </w:rPr>
        <w:t>Upstream Bio,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p>
      <w:pPr>
        <w:pStyle w:val="TextBody"/>
        <w:bidi w:val="0"/>
        <w:spacing w:before="240" w:after="283"/>
        <w:jc w:val="center"/>
        <w:rPr>
          <w:rFonts w:ascii="Times New Roman" w:hAnsi="Times New Roman"/>
          <w:sz w:val="20"/>
        </w:rPr>
      </w:pPr>
      <w:r>
        <w:rPr>
          <w:rFonts w:ascii="Times New Roman" w:hAnsi="Times New Roman"/>
          <w:color w:val="000000"/>
          <w:sz w:val="20"/>
          <w:u w:val="single"/>
        </w:rPr>
        <w:t>Table 1: Newly Registered Securities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6"/>
        <w:gridCol w:w="1370"/>
        <w:gridCol w:w="1121"/>
        <w:gridCol w:w="1388"/>
        <w:gridCol w:w="1526"/>
        <w:gridCol w:w="1667"/>
        <w:gridCol w:w="961"/>
        <w:gridCol w:w="1346"/>
      </w:tblGrid>
      <w:tr>
        <w:trPr/>
        <w:tc>
          <w:tcPr>
            <w:tcW w:w="82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r>
      <w:tr>
        <w:trPr/>
        <w:tc>
          <w:tcPr>
            <w:tcW w:w="8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Security Type</w:t>
            </w:r>
          </w:p>
        </w:tc>
        <w:tc>
          <w:tcPr>
            <w:tcW w:w="137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Security Class Title</w:t>
            </w:r>
          </w:p>
        </w:tc>
        <w:tc>
          <w:tcPr>
            <w:tcW w:w="11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 Calculation Rule</w:t>
            </w:r>
          </w:p>
        </w:tc>
        <w:tc>
          <w:tcPr>
            <w:tcW w:w="138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Amount Registered </w:t>
            </w:r>
            <w:r>
              <w:rPr>
                <w:rFonts w:ascii="Times New Roman" w:hAnsi="Times New Roman"/>
                <w:color w:val="000000"/>
                <w:sz w:val="11"/>
              </w:rPr>
              <w:t>(1)</w:t>
            </w:r>
          </w:p>
        </w:tc>
        <w:tc>
          <w:tcPr>
            <w:tcW w:w="15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Proposed Maximum Offering Price Per Unit</w:t>
            </w:r>
            <w:r>
              <w:rPr>
                <w:rFonts w:ascii="Times New Roman" w:hAnsi="Times New Roman"/>
                <w:color w:val="000000"/>
                <w:sz w:val="16"/>
              </w:rPr>
              <w:t> </w:t>
            </w:r>
            <w:r>
              <w:rPr>
                <w:rFonts w:ascii="Times New Roman" w:hAnsi="Times New Roman"/>
                <w:color w:val="000000"/>
                <w:sz w:val="11"/>
              </w:rPr>
              <w:t>(2)</w:t>
            </w:r>
          </w:p>
        </w:tc>
        <w:tc>
          <w:tcPr>
            <w:tcW w:w="166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Maximum Aggregate Offering Price </w:t>
            </w:r>
            <w:r>
              <w:rPr>
                <w:rFonts w:ascii="Times New Roman" w:hAnsi="Times New Roman"/>
                <w:color w:val="000000"/>
                <w:sz w:val="11"/>
              </w:rPr>
              <w:t>(2)</w:t>
            </w:r>
          </w:p>
        </w:tc>
        <w:tc>
          <w:tcPr>
            <w:tcW w:w="9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Fee Rate</w:t>
            </w:r>
          </w:p>
        </w:tc>
        <w:tc>
          <w:tcPr>
            <w:tcW w:w="13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Registration Fee</w:t>
            </w:r>
          </w:p>
        </w:tc>
      </w:tr>
      <w:tr>
        <w:trPr/>
        <w:tc>
          <w:tcPr>
            <w:tcW w:w="82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Equity</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121"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457(c) and 457(h)</w:t>
            </w:r>
          </w:p>
        </w:tc>
        <w:tc>
          <w:tcPr>
            <w:tcW w:w="1388"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sz w:val="16"/>
              </w:rPr>
            </w:pPr>
            <w:r>
              <w:rPr>
                <w:rFonts w:ascii="Times New Roman" w:hAnsi="Times New Roman"/>
                <w:color w:val="000000"/>
                <w:sz w:val="16"/>
              </w:rPr>
              <w:t xml:space="preserve">2,711,887 shares </w:t>
            </w:r>
            <w:r>
              <w:rPr>
                <w:rFonts w:ascii="Times New Roman" w:hAnsi="Times New Roman"/>
                <w:color w:val="000000"/>
                <w:sz w:val="11"/>
              </w:rPr>
              <w:t>(3)</w:t>
            </w:r>
          </w:p>
        </w:tc>
        <w:tc>
          <w:tcPr>
            <w:tcW w:w="152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$8.37</w:t>
            </w:r>
          </w:p>
        </w:tc>
        <w:tc>
          <w:tcPr>
            <w:tcW w:w="1667"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$22,698,494.19</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0.00013810</w:t>
            </w:r>
          </w:p>
        </w:tc>
        <w:tc>
          <w:tcPr>
            <w:tcW w:w="134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$3,134.67</w:t>
            </w:r>
          </w:p>
        </w:tc>
      </w:tr>
      <w:tr>
        <w:trPr/>
        <w:tc>
          <w:tcPr>
            <w:tcW w:w="4705" w:type="dxa"/>
            <w:gridSpan w:val="4"/>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Total Offering Amounts</w:t>
            </w:r>
          </w:p>
        </w:tc>
        <w:tc>
          <w:tcPr>
            <w:tcW w:w="1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667"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$22,698,494.19</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34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$3,134.67</w:t>
            </w:r>
          </w:p>
        </w:tc>
      </w:tr>
      <w:tr>
        <w:trPr/>
        <w:tc>
          <w:tcPr>
            <w:tcW w:w="4705" w:type="dxa"/>
            <w:gridSpan w:val="4"/>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Total Fee Offsets</w:t>
            </w:r>
          </w:p>
        </w:tc>
        <w:tc>
          <w:tcPr>
            <w:tcW w:w="1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6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34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color w:val="000000"/>
              </w:rPr>
            </w:pPr>
            <w:r>
              <w:rPr>
                <w:color w:val="000000"/>
              </w:rPr>
              <w:t>―</w:t>
            </w:r>
          </w:p>
        </w:tc>
      </w:tr>
      <w:tr>
        <w:trPr/>
        <w:tc>
          <w:tcPr>
            <w:tcW w:w="4705" w:type="dxa"/>
            <w:gridSpan w:val="4"/>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Net Fee Due</w:t>
            </w:r>
          </w:p>
        </w:tc>
        <w:tc>
          <w:tcPr>
            <w:tcW w:w="1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6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34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$3,134.67</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Rule 416(a) under the Securities Act of 1933, as amended (the “Securities Act”), this Registration Statement shall also cover any additional shares of the Registrant’s common stock, par value $0.001 per share (“Common Stock”), that become issuable under the Registrant’s 2024 Stock Option and Incentive Plan (the “Plan”) by reason of any stock dividend, stock split, recapitalization or any other similar transaction 211effected without the receipt of consideration which results in an increase in the number of our outstanding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solely for the purpose of calculating the registration fee pursuant to Rules 457(c) and 457(h) of the Securities Act, and based on $8.37, the average of the high and low price of the Registrant’s Common Stock, as reported on the Nasdaq Global Select Market, on March 24,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2,711,887 additional shares issuable under the Plan, which represents an automatic annual increase to the number of shares available for issuance under the Plan effective as of January 1, 2026. Pursuant to such provision, an additional number of shares will automatically be added to the shares authorized for issuance under the Plan on January 1 of each year. Shares available for issuance under the Plan were previously registered on registration statements on Form S-8 filed with the Securities and Exchange Commission on October 11, 2024 (File No. 333-282614) and March 12, 2025 (File No. 333-285729). </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2626/000119312524237580/d897785dex31.htm" TargetMode="External"/><Relationship Id="rId3" Type="http://schemas.openxmlformats.org/officeDocument/2006/relationships/hyperlink" Target="https://www.sec.gov/Archives/edgar/data/2022626/000119312524237580/d897785dex32.htm" TargetMode="External"/><Relationship Id="rId4" Type="http://schemas.openxmlformats.org/officeDocument/2006/relationships/hyperlink" Target="https://www.sec.gov/Archives/edgar/data/2022626/000119312524221372/d843142dex42.htm" TargetMode="External"/><Relationship Id="rId5" Type="http://schemas.openxmlformats.org/officeDocument/2006/relationships/hyperlink" Target="https://www.sec.gov/Archives/edgar/data/2022626/000119312524233296/d843142dex10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1807</Words>
  <Characters>9822</Characters>
  <CharactersWithSpaces>11551</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