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904875</wp:posOffset>
                </wp:positionH>
                <wp:positionV relativeFrom="page">
                  <wp:posOffset>4373880</wp:posOffset>
                </wp:positionV>
                <wp:extent cx="59531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3125"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71.25pt,344.4pt" to="540pt,344.4pt" o:allowincell="f" strokecolor="#000000" strokeweight="0.9599pt">
                <w10:wrap anchorx="page" anchory="page"/>
              </v:line>
            </w:pict>
          </mc:Fallback>
        </mc:AlternateContent>
        <w:drawing>
          <wp:anchor simplePos="0" relativeHeight="251657728" behindDoc="1" locked="0" layoutInCell="0" allowOverlap="1">
            <wp:simplePos x="0" y="0"/>
            <wp:positionH relativeFrom="page">
              <wp:posOffset>1285875</wp:posOffset>
            </wp:positionH>
            <wp:positionV relativeFrom="page">
              <wp:posOffset>2580640</wp:posOffset>
            </wp:positionV>
            <wp:extent cx="5194300" cy="879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194300" cy="8794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36"/>
          <w:szCs w:val="36"/>
          <w:b w:val="1"/>
          <w:bCs w:val="1"/>
          <w:color w:val="auto"/>
        </w:rPr>
        <w:t>UPSTREAM BIO, INC.</w:t>
      </w:r>
    </w:p>
    <w:p>
      <w:pPr>
        <w:spacing w:after="0" w:line="32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35"/>
          <w:szCs w:val="35"/>
          <w:b w:val="1"/>
          <w:bCs w:val="1"/>
          <w:color w:val="auto"/>
        </w:rPr>
        <w:t>2025 ANNUAL REPORT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-8890</wp:posOffset>
                </wp:positionH>
                <wp:positionV relativeFrom="paragraph">
                  <wp:posOffset>231775</wp:posOffset>
                </wp:positionV>
                <wp:extent cx="595249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524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999pt,18.25pt" to="468pt,18.25pt" o:allowincell="f" strokecolor="#000000" strokeweight="0.9599pt"/>
            </w:pict>
          </mc:Fallback>
        </mc:AlternateContent>
      </w:r>
    </w:p>
    <w:p>
      <w:pPr>
        <w:sectPr>
          <w:pgSz w:w="12240" w:h="15840" w:orient="portrait"/>
          <w:cols w:equalWidth="0" w:num="1">
            <w:col w:w="9360"/>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8"/>
          <w:szCs w:val="28"/>
          <w:b w:val="1"/>
          <w:bCs w:val="1"/>
          <w:color w:val="auto"/>
        </w:rPr>
        <mc:AlternateContent>
          <mc:Choice Requires="wps">
            <w:drawing>
              <wp:anchor simplePos="0" relativeHeight="251657728" behindDoc="1" locked="0" layoutInCell="0" allowOverlap="1">
                <wp:simplePos x="0" y="0"/>
                <wp:positionH relativeFrom="page">
                  <wp:posOffset>438150</wp:posOffset>
                </wp:positionH>
                <wp:positionV relativeFrom="page">
                  <wp:posOffset>607060</wp:posOffset>
                </wp:positionV>
                <wp:extent cx="68961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47.8pt" to="577.5pt,47.8pt" o:allowincell="f" strokecolor="#000000" strokeweight="0.4799pt">
                <w10:wrap anchorx="page" anchory="page"/>
              </v:line>
            </w:pict>
          </mc:Fallback>
        </mc:AlternateContent>
        <mc:AlternateContent>
          <mc:Choice Requires="wps">
            <w:drawing>
              <wp:anchor simplePos="0" relativeHeight="251657728" behindDoc="1" locked="0" layoutInCell="0" allowOverlap="1">
                <wp:simplePos x="0" y="0"/>
                <wp:positionH relativeFrom="page">
                  <wp:posOffset>438150</wp:posOffset>
                </wp:positionH>
                <wp:positionV relativeFrom="page">
                  <wp:posOffset>619125</wp:posOffset>
                </wp:positionV>
                <wp:extent cx="68961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4.5pt,48.75pt" to="577.5pt,48.75pt" o:allowincell="f" strokecolor="#000000" strokeweight="0.48pt">
                <w10:wrap anchorx="page" anchory="page"/>
              </v:line>
            </w:pict>
          </mc:Fallback>
        </mc:AlternateContent>
        <w:t>UNITED STATES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57785</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4.55pt" to="325.5pt,4.55pt" o:allowincell="f" strokecolor="#000000" strokeweight="0.96pt"/>
            </w:pict>
          </mc:Fallback>
        </mc:AlternateConten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83185</wp:posOffset>
                </wp:positionV>
                <wp:extent cx="14097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6.55pt" to="325.5pt,6.55pt" o:allowincell="f" strokecolor="#000000" strokeweight="0.96pt"/>
            </w:pict>
          </mc:Fallback>
        </mc:AlternateConten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7" w:lineRule="exact"/>
        <w:rPr>
          <w:sz w:val="20"/>
          <w:szCs w:val="20"/>
          <w:color w:val="auto"/>
        </w:rPr>
      </w:pPr>
    </w:p>
    <w:p>
      <w:pPr>
        <w:ind w:left="440" w:hanging="426"/>
        <w:spacing w:after="0"/>
        <w:tabs>
          <w:tab w:leader="none" w:pos="440" w:val="left"/>
        </w:tabs>
        <w:numPr>
          <w:ilvl w:val="0"/>
          <w:numId w:val="1"/>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8" w:lineRule="exact"/>
        <w:rPr>
          <w:sz w:val="20"/>
          <w:szCs w:val="20"/>
          <w:color w:val="auto"/>
        </w:rPr>
      </w:pPr>
    </w:p>
    <w:p>
      <w:pPr>
        <w:ind w:left="440" w:hanging="426"/>
        <w:spacing w:after="0"/>
        <w:tabs>
          <w:tab w:leader="none" w:pos="440" w:val="left"/>
        </w:tabs>
        <w:numPr>
          <w:ilvl w:val="0"/>
          <w:numId w:val="2"/>
        </w:numPr>
        <w:rPr>
          <w:rFonts w:ascii="Segoe UI" w:cs="Segoe UI" w:eastAsia="Segoe UI" w:hAnsi="Segoe UI"/>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_________________ to _________________</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001-42366</w:t>
      </w:r>
    </w:p>
    <w:p>
      <w:pPr>
        <w:sectPr>
          <w:pgSz w:w="12240" w:h="15840" w:orient="portrait"/>
          <w:cols w:equalWidth="0" w:num="1">
            <w:col w:w="10800"/>
          </w:cols>
          <w:pgMar w:left="720" w:top="1035" w:right="720" w:bottom="605" w:gutter="0" w:footer="0" w:header="0"/>
        </w:sectPr>
      </w:pPr>
    </w:p>
    <w:p>
      <w:pPr>
        <w:spacing w:after="0" w:line="86" w:lineRule="exact"/>
        <w:rPr>
          <w:sz w:val="20"/>
          <w:szCs w:val="20"/>
          <w:color w:val="auto"/>
        </w:rPr>
      </w:pPr>
    </w:p>
    <w:p>
      <w:pPr>
        <w:jc w:val="center"/>
        <w:ind w:left="3380"/>
        <w:spacing w:after="0"/>
        <w:rPr>
          <w:sz w:val="20"/>
          <w:szCs w:val="20"/>
          <w:color w:val="auto"/>
        </w:rPr>
      </w:pPr>
      <w:r>
        <w:rPr>
          <w:rFonts w:ascii="Times New Roman" w:cs="Times New Roman" w:eastAsia="Times New Roman" w:hAnsi="Times New Roman"/>
          <w:sz w:val="36"/>
          <w:szCs w:val="36"/>
          <w:b w:val="1"/>
          <w:bCs w:val="1"/>
          <w:color w:val="auto"/>
        </w:rPr>
        <w:t>Upstream Bio, Inc.</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-242570</wp:posOffset>
                </wp:positionV>
                <wp:extent cx="14097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19.0999pt" to="325.5pt,-19.0999pt" o:allowincell="f" strokecolor="#000000" strokeweight="0.9599pt"/>
            </w:pict>
          </mc:Fallback>
        </mc:AlternateContent>
      </w:r>
    </w:p>
    <w:p>
      <w:pPr>
        <w:spacing w:after="0" w:line="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57785</wp:posOffset>
                </wp:positionV>
                <wp:extent cx="14097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4.55pt" to="325.5pt,4.55pt" o:allowincell="f" strokecolor="#000000" strokeweight="0.9599pt"/>
            </w:pict>
          </mc:Fallback>
        </mc:AlternateContent>
      </w:r>
    </w:p>
    <w:p>
      <w:pPr>
        <w:spacing w:after="0" w:line="130"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78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38-4187694</w:t>
      </w:r>
    </w:p>
    <w:p>
      <w:pPr>
        <w:spacing w:after="0" w:line="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4" w:lineRule="exact"/>
        <w:rPr>
          <w:sz w:val="20"/>
          <w:szCs w:val="20"/>
          <w:color w:val="auto"/>
        </w:rPr>
      </w:pPr>
    </w:p>
    <w:p>
      <w:pPr>
        <w:sectPr>
          <w:pgSz w:w="12240" w:h="15840" w:orient="portrait"/>
          <w:cols w:equalWidth="0" w:num="2">
            <w:col w:w="7420" w:space="140"/>
            <w:col w:w="3240"/>
          </w:cols>
          <w:pgMar w:left="720" w:top="1035" w:right="720" w:bottom="605" w:gutter="0" w:footer="0" w:header="0"/>
          <w:type w:val="continuous"/>
        </w:sectPr>
      </w:pPr>
    </w:p>
    <w:tbl>
      <w:tblPr>
        <w:tblLayout w:type="fixed"/>
        <w:tblInd w:w="1540" w:type="dxa"/>
        <w:tblCellMar>
          <w:top w:w="0" w:type="dxa"/>
          <w:left w:w="0" w:type="dxa"/>
          <w:bottom w:w="0" w:type="dxa"/>
          <w:right w:w="0" w:type="dxa"/>
        </w:tblCellMar>
      </w:tblPr>
      <w:tr>
        <w:trPr>
          <w:trHeight w:val="207"/>
        </w:trPr>
        <w:tc>
          <w:tcPr>
            <w:tcW w:w="4280" w:type="dxa"/>
            <w:vAlign w:val="bottom"/>
          </w:tcPr>
          <w:p>
            <w:pPr>
              <w:jc w:val="center"/>
              <w:ind w:right="1877"/>
              <w:spacing w:after="0"/>
              <w:rPr>
                <w:sz w:val="20"/>
                <w:szCs w:val="20"/>
                <w:color w:val="auto"/>
              </w:rPr>
            </w:pPr>
            <w:r>
              <w:rPr>
                <w:rFonts w:ascii="Times New Roman" w:cs="Times New Roman" w:eastAsia="Times New Roman" w:hAnsi="Times New Roman"/>
                <w:sz w:val="18"/>
                <w:szCs w:val="18"/>
                <w:b w:val="1"/>
                <w:bCs w:val="1"/>
                <w:color w:val="auto"/>
                <w:w w:val="99"/>
              </w:rPr>
              <w:t>890 Winter Street, Suite 200</w:t>
            </w:r>
          </w:p>
        </w:tc>
        <w:tc>
          <w:tcPr>
            <w:tcW w:w="2580" w:type="dxa"/>
            <w:vAlign w:val="bottom"/>
          </w:tcPr>
          <w:p>
            <w:pPr>
              <w:spacing w:after="0"/>
              <w:rPr>
                <w:sz w:val="18"/>
                <w:szCs w:val="18"/>
                <w:color w:val="auto"/>
              </w:rPr>
            </w:pPr>
          </w:p>
        </w:tc>
      </w:tr>
      <w:tr>
        <w:trPr>
          <w:trHeight w:val="226"/>
        </w:trPr>
        <w:tc>
          <w:tcPr>
            <w:tcW w:w="4280" w:type="dxa"/>
            <w:vAlign w:val="bottom"/>
          </w:tcPr>
          <w:p>
            <w:pPr>
              <w:jc w:val="center"/>
              <w:ind w:right="1897"/>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3"/>
        </w:trPr>
        <w:tc>
          <w:tcPr>
            <w:tcW w:w="4280" w:type="dxa"/>
            <w:vAlign w:val="bottom"/>
          </w:tcPr>
          <w:p>
            <w:pPr>
              <w:jc w:val="center"/>
              <w:ind w:right="18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80" w:type="dxa"/>
            <w:vAlign w:val="bottom"/>
          </w:tcPr>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208-2466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75565</wp:posOffset>
                </wp:positionV>
                <wp:extent cx="14097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5.95pt" to="325.5pt,5.95pt" o:allowincell="f" strokecolor="#000000" strokeweight="0.9599pt"/>
            </w:pict>
          </mc:Fallback>
        </mc:AlternateConten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r>
      <w:tr>
        <w:trPr>
          <w:trHeight w:val="178"/>
        </w:trPr>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symbol(s)</w:t>
            </w:r>
          </w:p>
        </w:tc>
        <w:tc>
          <w:tcPr>
            <w:tcW w:w="100" w:type="dxa"/>
            <w:vAlign w:val="bottom"/>
          </w:tcPr>
          <w:p>
            <w:pPr>
              <w:spacing w:after="0"/>
              <w:rPr>
                <w:sz w:val="15"/>
                <w:szCs w:val="15"/>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2"/>
        </w:trPr>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 per share</w:t>
            </w:r>
          </w:p>
        </w:tc>
        <w:tc>
          <w:tcPr>
            <w:tcW w:w="10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UPB</w:t>
            </w:r>
          </w:p>
        </w:tc>
        <w:tc>
          <w:tcPr>
            <w:tcW w:w="100" w:type="dxa"/>
            <w:vAlign w:val="bottom"/>
          </w:tcPr>
          <w:p>
            <w:pPr>
              <w:spacing w:after="0"/>
              <w:rPr>
                <w:sz w:val="17"/>
                <w:szCs w:val="17"/>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40" w:type="dxa"/>
            <w:vAlign w:val="bottom"/>
          </w:tcPr>
          <w:p>
            <w:pPr>
              <w:spacing w:after="0"/>
              <w:rPr>
                <w:sz w:val="19"/>
                <w:szCs w:val="19"/>
                <w:color w:val="auto"/>
              </w:rPr>
            </w:pPr>
          </w:p>
        </w:tc>
      </w:tr>
    </w:tbl>
    <w:p>
      <w:pPr>
        <w:ind w:right="2100"/>
        <w:spacing w:after="0" w:line="337"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ց</w:t>
      </w:r>
    </w:p>
    <w:p>
      <w:pPr>
        <w:spacing w:after="0" w:line="2"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color w:val="auto"/>
        </w:rPr>
        <w:t xml:space="preserve">days. YES </w:t>
      </w:r>
      <w:r>
        <w:rPr>
          <w:rFonts w:ascii="Segoe UI" w:cs="Segoe UI" w:eastAsia="Segoe UI" w:hAnsi="Segoe UI"/>
          <w:sz w:val="16"/>
          <w:szCs w:val="16"/>
          <w:color w:val="auto"/>
        </w:rPr>
        <w:t>ց</w:t>
      </w:r>
      <w:r>
        <w:rPr>
          <w:sz w:val="20"/>
          <w:szCs w:val="20"/>
          <w:color w:val="auto"/>
        </w:rPr>
        <w:tab/>
      </w:r>
      <w:r>
        <w:rPr>
          <w:rFonts w:ascii="Times New Roman" w:cs="Times New Roman" w:eastAsia="Times New Roman" w:hAnsi="Times New Roman"/>
          <w:sz w:val="15"/>
          <w:szCs w:val="15"/>
          <w:color w:val="auto"/>
        </w:rPr>
        <w:t xml:space="preserve">NO </w:t>
      </w:r>
      <w:r>
        <w:rPr>
          <w:rFonts w:ascii="Segoe UI" w:cs="Segoe UI" w:eastAsia="Segoe UI" w:hAnsi="Segoe UI"/>
          <w:sz w:val="15"/>
          <w:szCs w:val="15"/>
          <w:color w:val="auto"/>
        </w:rPr>
        <w:t>տ</w:t>
      </w:r>
    </w:p>
    <w:p>
      <w:pPr>
        <w:spacing w:after="0" w:line="66"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auto"/>
        </w:rPr>
        <w:t>ց</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տ</w:t>
      </w:r>
    </w:p>
    <w:p>
      <w:pPr>
        <w:spacing w:after="0" w:line="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40"/>
              <w:spacing w:after="0"/>
              <w:rPr>
                <w:sz w:val="20"/>
                <w:szCs w:val="20"/>
                <w:color w:val="auto"/>
              </w:rPr>
            </w:pPr>
            <w:r>
              <w:rPr>
                <w:rFonts w:ascii="Segoe UI" w:cs="Segoe UI" w:eastAsia="Segoe UI" w:hAnsi="Segoe UI"/>
                <w:sz w:val="16"/>
                <w:szCs w:val="16"/>
                <w:color w:val="auto"/>
              </w:rPr>
              <w:t>տ</w:t>
            </w:r>
          </w:p>
        </w:tc>
        <w:tc>
          <w:tcPr>
            <w:tcW w:w="500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rPr>
                <w:sz w:val="20"/>
                <w:szCs w:val="20"/>
                <w:color w:val="auto"/>
              </w:rPr>
            </w:pPr>
            <w:r>
              <w:rPr>
                <w:rFonts w:ascii="Segoe UI" w:cs="Segoe UI" w:eastAsia="Segoe UI" w:hAnsi="Segoe UI"/>
                <w:sz w:val="16"/>
                <w:szCs w:val="16"/>
                <w:color w:val="auto"/>
                <w:w w:val="89"/>
              </w:rPr>
              <w:t>տ</w:t>
            </w:r>
          </w:p>
        </w:tc>
      </w:tr>
      <w:tr>
        <w:trPr>
          <w:trHeight w:val="227"/>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40"/>
              <w:spacing w:after="0"/>
              <w:rPr>
                <w:sz w:val="20"/>
                <w:szCs w:val="20"/>
                <w:color w:val="auto"/>
              </w:rPr>
            </w:pPr>
            <w:r>
              <w:rPr>
                <w:rFonts w:ascii="Segoe UI" w:cs="Segoe UI" w:eastAsia="Segoe UI" w:hAnsi="Segoe UI"/>
                <w:sz w:val="16"/>
                <w:szCs w:val="16"/>
                <w:color w:val="auto"/>
              </w:rPr>
              <w:t>ց</w:t>
            </w:r>
          </w:p>
        </w:tc>
        <w:tc>
          <w:tcPr>
            <w:tcW w:w="500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rPr>
                <w:sz w:val="20"/>
                <w:szCs w:val="20"/>
                <w:color w:val="auto"/>
              </w:rPr>
            </w:pPr>
            <w:r>
              <w:rPr>
                <w:rFonts w:ascii="Segoe UI" w:cs="Segoe UI" w:eastAsia="Segoe UI" w:hAnsi="Segoe UI"/>
                <w:sz w:val="16"/>
                <w:szCs w:val="16"/>
                <w:color w:val="auto"/>
              </w:rPr>
              <w:t>ց</w:t>
            </w:r>
          </w:p>
        </w:tc>
      </w:tr>
      <w:tr>
        <w:trPr>
          <w:trHeight w:val="362"/>
        </w:trPr>
        <w:tc>
          <w:tcPr>
            <w:tcW w:w="1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500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20" w:type="dxa"/>
            <w:vAlign w:val="bottom"/>
          </w:tcPr>
          <w:p>
            <w:pPr>
              <w:ind w:left="280"/>
              <w:spacing w:after="0"/>
              <w:rPr>
                <w:sz w:val="20"/>
                <w:szCs w:val="20"/>
                <w:color w:val="auto"/>
              </w:rPr>
            </w:pPr>
            <w:r>
              <w:rPr>
                <w:rFonts w:ascii="Segoe UI" w:cs="Segoe UI" w:eastAsia="Segoe UI" w:hAnsi="Segoe UI"/>
                <w:sz w:val="16"/>
                <w:szCs w:val="16"/>
                <w:color w:val="auto"/>
              </w:rPr>
              <w:t>ց</w:t>
            </w:r>
          </w:p>
        </w:tc>
      </w:tr>
    </w:tbl>
    <w:p>
      <w:pPr>
        <w:ind w:right="280"/>
        <w:spacing w:after="0" w:line="27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տ</w:t>
      </w:r>
    </w:p>
    <w:p>
      <w:pPr>
        <w:spacing w:after="0" w:line="1" w:lineRule="exact"/>
        <w:rPr>
          <w:sz w:val="20"/>
          <w:szCs w:val="20"/>
          <w:color w:val="auto"/>
        </w:rPr>
      </w:pPr>
    </w:p>
    <w:p>
      <w:pPr>
        <w:ind w:right="500"/>
        <w:spacing w:after="0" w:line="235"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report. </w:t>
      </w:r>
      <w:r>
        <w:rPr>
          <w:rFonts w:ascii="Segoe UI" w:cs="Segoe UI" w:eastAsia="Segoe UI" w:hAnsi="Segoe UI"/>
          <w:sz w:val="16"/>
          <w:szCs w:val="16"/>
          <w:color w:val="auto"/>
        </w:rPr>
        <w:t>տ</w:t>
      </w:r>
    </w:p>
    <w:p>
      <w:pPr>
        <w:spacing w:after="0" w:line="6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տ</w:t>
      </w:r>
    </w:p>
    <w:p>
      <w:pPr>
        <w:spacing w:after="0" w:line="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տ</w:t>
      </w:r>
    </w:p>
    <w:p>
      <w:pPr>
        <w:spacing w:after="0" w:line="2" w:lineRule="exact"/>
        <w:rPr>
          <w:sz w:val="20"/>
          <w:szCs w:val="20"/>
          <w:color w:val="auto"/>
        </w:rPr>
      </w:pPr>
    </w:p>
    <w:p>
      <w:pPr>
        <w:spacing w:after="0"/>
        <w:tabs>
          <w:tab w:leader="none" w:pos="806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տ</w:t>
      </w:r>
      <w:r>
        <w:rPr>
          <w:rFonts w:ascii="Times New Roman" w:cs="Times New Roman" w:eastAsia="Times New Roman" w:hAnsi="Times New Roman"/>
          <w:sz w:val="16"/>
          <w:szCs w:val="16"/>
          <w:color w:val="auto"/>
        </w:rPr>
        <w:tab/>
        <w:t xml:space="preserve">NO </w:t>
      </w:r>
      <w:r>
        <w:rPr>
          <w:rFonts w:ascii="Segoe UI" w:cs="Segoe UI" w:eastAsia="Segoe UI" w:hAnsi="Segoe UI"/>
          <w:sz w:val="16"/>
          <w:szCs w:val="16"/>
          <w:color w:val="auto"/>
        </w:rPr>
        <w:t>ց</w:t>
      </w:r>
    </w:p>
    <w:p>
      <w:pPr>
        <w:spacing w:after="0" w:line="66" w:lineRule="exact"/>
        <w:rPr>
          <w:sz w:val="20"/>
          <w:szCs w:val="20"/>
          <w:color w:val="auto"/>
        </w:rPr>
      </w:pPr>
    </w:p>
    <w:p>
      <w:pPr>
        <w:ind w:right="240"/>
        <w:spacing w:after="0" w:line="244"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voting and non-voting common equity held by non-affiliates of the Registrant, based on the closing price of the shares of common stock on The Nasdaq Global Select Market on June 30, 2025, was approximately $467,859,469.</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20, 2026 was 54,419,986.</w:t>
      </w:r>
    </w:p>
    <w:p>
      <w:pPr>
        <w:spacing w:after="0" w:line="6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2"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2026 Annual Meeting of Stockholders to be filed pursuant to Regulation 14A within 120 days of the end of the Registrant’s fiscal year ended December 31, 2025 are incorporated by reference in Part III of this Annual Report on Form 10-K to the extent stated herein.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-19050</wp:posOffset>
                </wp:positionH>
                <wp:positionV relativeFrom="paragraph">
                  <wp:posOffset>96520</wp:posOffset>
                </wp:positionV>
                <wp:extent cx="68961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048">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6pt" to="541.5pt,7.6pt" o:allowincell="f" strokecolor="#000000" strokeweight="0.24pt"/>
            </w:pict>
          </mc:Fallback>
        </mc:AlternateContent>
        <mc:AlternateContent>
          <mc:Choice Requires="wps">
            <w:drawing>
              <wp:anchor simplePos="0" relativeHeight="251657728" behindDoc="1" locked="0" layoutInCell="0" allowOverlap="1">
                <wp:simplePos x="0" y="0"/>
                <wp:positionH relativeFrom="column">
                  <wp:posOffset>-19050</wp:posOffset>
                </wp:positionH>
                <wp:positionV relativeFrom="paragraph">
                  <wp:posOffset>90170</wp:posOffset>
                </wp:positionV>
                <wp:extent cx="68961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96100" cy="4763"/>
                        </a:xfrm>
                        <a:prstGeom prst="line">
                          <a:avLst/>
                        </a:prstGeom>
                        <a:solidFill>
                          <a:srgbClr val="FFFFFF"/>
                        </a:solidFill>
                        <a:ln w="3047">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99pt,7.1pt" to="541.5pt,7.1pt" o:allowincell="f" strokecolor="#000000" strokeweight="0.2399pt"/>
            </w:pict>
          </mc:Fallback>
        </mc:AlternateContent>
      </w:r>
    </w:p>
    <w:p>
      <w:pPr>
        <w:sectPr>
          <w:pgSz w:w="12240" w:h="15840" w:orient="portrait"/>
          <w:cols w:equalWidth="0" w:num="1">
            <w:col w:w="10800"/>
          </w:cols>
          <w:pgMar w:left="720" w:top="1035" w:right="720" w:bottom="605"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1080" w:type="dxa"/>
            <w:vAlign w:val="bottom"/>
          </w:tcPr>
          <w:p>
            <w:pPr>
              <w:spacing w:after="0"/>
              <w:rPr>
                <w:sz w:val="23"/>
                <w:szCs w:val="23"/>
                <w:color w:val="auto"/>
              </w:rPr>
            </w:pPr>
          </w:p>
        </w:tc>
        <w:tc>
          <w:tcPr>
            <w:tcW w:w="8620" w:type="dxa"/>
            <w:vAlign w:val="bottom"/>
          </w:tcPr>
          <w:p>
            <w:pPr>
              <w:ind w:left="33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1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8620" w:type="dxa"/>
            <w:vAlign w:val="bottom"/>
          </w:tcPr>
          <w:p>
            <w:pPr>
              <w:spacing w:after="0"/>
              <w:rPr>
                <w:sz w:val="24"/>
                <w:szCs w:val="24"/>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6"/>
        </w:trPr>
        <w:tc>
          <w:tcPr>
            <w:tcW w:w="1080" w:type="dxa"/>
            <w:vAlign w:val="bottom"/>
            <w:vMerge w:val="continue"/>
          </w:tcPr>
          <w:p>
            <w:pPr>
              <w:spacing w:after="0"/>
              <w:rPr>
                <w:sz w:val="19"/>
                <w:szCs w:val="19"/>
                <w:color w:val="auto"/>
              </w:rPr>
            </w:pPr>
          </w:p>
        </w:tc>
        <w:tc>
          <w:tcPr>
            <w:tcW w:w="8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Cybersecurity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46"/>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67"/>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0" w:type="dxa"/>
            <w:vAlign w:val="bottom"/>
          </w:tcPr>
          <w:p>
            <w:pPr>
              <w:spacing w:after="0"/>
              <w:rPr>
                <w:sz w:val="1"/>
                <w:szCs w:val="1"/>
                <w:color w:val="auto"/>
              </w:rPr>
            </w:pPr>
          </w:p>
        </w:tc>
      </w:tr>
      <w:tr>
        <w:trPr>
          <w:trHeight w:val="468"/>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8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 and Issuer Purchases of Equity</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080" w:type="dxa"/>
            <w:vAlign w:val="bottom"/>
          </w:tcPr>
          <w:p>
            <w:pPr>
              <w:spacing w:after="0"/>
              <w:rPr>
                <w:sz w:val="21"/>
                <w:szCs w:val="21"/>
                <w:color w:val="auto"/>
              </w:rPr>
            </w:pP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6"/>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67"/>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468"/>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8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6"/>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45"/>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267"/>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c>
          <w:tcPr>
            <w:tcW w:w="0" w:type="dxa"/>
            <w:vAlign w:val="bottom"/>
          </w:tcPr>
          <w:p>
            <w:pPr>
              <w:spacing w:after="0"/>
              <w:rPr>
                <w:sz w:val="1"/>
                <w:szCs w:val="1"/>
                <w:color w:val="auto"/>
              </w:rPr>
            </w:pPr>
          </w:p>
        </w:tc>
      </w:tr>
      <w:tr>
        <w:trPr>
          <w:trHeight w:val="468"/>
        </w:trPr>
        <w:tc>
          <w:tcPr>
            <w:tcW w:w="10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8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Exhibits and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0" w:type="dxa"/>
            <w:vAlign w:val="bottom"/>
          </w:tcPr>
          <w:p>
            <w:pPr>
              <w:spacing w:after="0"/>
              <w:rPr>
                <w:sz w:val="1"/>
                <w:szCs w:val="1"/>
                <w:color w:val="auto"/>
              </w:rPr>
            </w:pPr>
          </w:p>
        </w:tc>
      </w:tr>
      <w:tr>
        <w:trPr>
          <w:trHeight w:val="267"/>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86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734"/>
        </w:trPr>
        <w:tc>
          <w:tcPr>
            <w:tcW w:w="108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Signatures</w:t>
            </w:r>
          </w:p>
        </w:tc>
        <w:tc>
          <w:tcPr>
            <w:tcW w:w="86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10440"/>
          </w:cols>
          <w:pgMar w:left="900" w:top="925" w:right="900" w:bottom="175"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This Annual Report on Form 10-K (this “Annual Report”) contains express or implied forward-looking statements that are based on our management’s belief and assumptions and on information currently available to our management.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Annual Report include, but are not limited to, statements about:</w:t>
      </w:r>
    </w:p>
    <w:p>
      <w:pPr>
        <w:spacing w:after="0" w:line="216" w:lineRule="exact"/>
        <w:rPr>
          <w:sz w:val="20"/>
          <w:szCs w:val="20"/>
          <w:color w:val="auto"/>
        </w:rPr>
      </w:pPr>
    </w:p>
    <w:p>
      <w:pPr>
        <w:ind w:left="980" w:right="540" w:hanging="361"/>
        <w:spacing w:after="0" w:line="25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initiation, timing, progress, and results of our planned and future clinical trials for verekitug, for the treatment of severe asthma, chronic rhinosinusitis with nasal polyps (“CRSwNP”) and chronic obstructive pulmonary disease (“COPD”);</w:t>
      </w:r>
    </w:p>
    <w:p>
      <w:pPr>
        <w:spacing w:after="0" w:line="207" w:lineRule="exact"/>
        <w:rPr>
          <w:rFonts w:ascii="Symbol" w:cs="Symbol" w:eastAsia="Symbol" w:hAnsi="Symbol"/>
          <w:sz w:val="20"/>
          <w:szCs w:val="20"/>
          <w:color w:val="auto"/>
        </w:rPr>
      </w:pPr>
    </w:p>
    <w:p>
      <w:pPr>
        <w:ind w:left="980" w:right="200" w:hanging="361"/>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replicate positive results from earlier preclinical studies or clinical trials conducted by us or third parties in current or future clinical trials;</w:t>
      </w:r>
    </w:p>
    <w:p>
      <w:pPr>
        <w:spacing w:after="0" w:line="195" w:lineRule="exact"/>
        <w:rPr>
          <w:rFonts w:ascii="Symbol" w:cs="Symbol" w:eastAsia="Symbol" w:hAnsi="Symbol"/>
          <w:sz w:val="20"/>
          <w:szCs w:val="20"/>
          <w:color w:val="auto"/>
        </w:rPr>
      </w:pPr>
    </w:p>
    <w:p>
      <w:pPr>
        <w:ind w:left="980" w:right="640" w:hanging="361"/>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demonstrate that verekitug and any potential future product candidates are safe and effective for their proposed indications and our expectations around their beneficial characteristics and therapeutic effects;</w:t>
      </w:r>
    </w:p>
    <w:p>
      <w:pPr>
        <w:spacing w:after="0" w:line="196" w:lineRule="exact"/>
        <w:rPr>
          <w:rFonts w:ascii="Symbol" w:cs="Symbol" w:eastAsia="Symbol" w:hAnsi="Symbol"/>
          <w:sz w:val="20"/>
          <w:szCs w:val="20"/>
          <w:color w:val="auto"/>
        </w:rPr>
      </w:pPr>
    </w:p>
    <w:p>
      <w:pPr>
        <w:ind w:left="980" w:right="600" w:hanging="361"/>
        <w:spacing w:after="0" w:line="250"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advance verekitug and any potential future product candidates through applicable regulatory approval processes, including timing of Investigational New Drug (“IND”) applications and final U.S. Food and Drug Administration (“FDA”) approval of verekitug or any future product candidate;</w:t>
      </w:r>
    </w:p>
    <w:p>
      <w:pPr>
        <w:spacing w:after="0" w:line="208" w:lineRule="exact"/>
        <w:rPr>
          <w:rFonts w:ascii="Symbol" w:cs="Symbol" w:eastAsia="Symbol" w:hAnsi="Symbol"/>
          <w:sz w:val="20"/>
          <w:szCs w:val="20"/>
          <w:color w:val="auto"/>
        </w:rPr>
      </w:pPr>
    </w:p>
    <w:p>
      <w:pPr>
        <w:ind w:left="980" w:right="460" w:hanging="361"/>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estimates of the number of patients that we will enroll and our ability to initiate, recruit and enroll patients in and conduct and successfully complete our clinical trials at the pace we project;</w:t>
      </w:r>
    </w:p>
    <w:p>
      <w:pPr>
        <w:spacing w:after="0" w:line="196"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implementation of our business model and strategic plans;</w:t>
      </w:r>
    </w:p>
    <w:p>
      <w:pPr>
        <w:spacing w:after="0" w:line="238" w:lineRule="exact"/>
        <w:rPr>
          <w:rFonts w:ascii="Symbol" w:cs="Symbol" w:eastAsia="Symbol" w:hAnsi="Symbol"/>
          <w:sz w:val="20"/>
          <w:szCs w:val="20"/>
          <w:color w:val="auto"/>
        </w:rPr>
      </w:pPr>
    </w:p>
    <w:p>
      <w:pPr>
        <w:ind w:left="980" w:right="380" w:hanging="361"/>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rely on third-party manufacturers and successfully manufacture verekitug for preclinical use, for clinical trials and on a larger scale for commercial use, if approved;</w:t>
      </w:r>
    </w:p>
    <w:p>
      <w:pPr>
        <w:spacing w:after="0" w:line="196"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commercialize verekitug, if approved, and obtain favorable pricing and reimbursement;</w:t>
      </w:r>
    </w:p>
    <w:p>
      <w:pPr>
        <w:spacing w:after="0" w:line="239"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the size and growth potential of the markets for verekitug and our ability to serve those markets;</w:t>
      </w:r>
    </w:p>
    <w:p>
      <w:pPr>
        <w:spacing w:after="0" w:line="238" w:lineRule="exact"/>
        <w:rPr>
          <w:rFonts w:ascii="Symbol" w:cs="Symbol" w:eastAsia="Symbol" w:hAnsi="Symbol"/>
          <w:sz w:val="20"/>
          <w:szCs w:val="20"/>
          <w:color w:val="auto"/>
        </w:rPr>
      </w:pPr>
    </w:p>
    <w:p>
      <w:pPr>
        <w:ind w:left="980" w:right="260" w:hanging="361"/>
        <w:spacing w:after="0" w:line="262"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realize the benefits of collaborations for the development and commercialization of verekitug or any other potential future product candidates;</w:t>
      </w:r>
    </w:p>
    <w:p>
      <w:pPr>
        <w:spacing w:after="0" w:line="195"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maintain, expand and protect our intellectual property;</w:t>
      </w:r>
    </w:p>
    <w:p>
      <w:pPr>
        <w:spacing w:after="0" w:line="239"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developments relating to our competitors and our industry;</w:t>
      </w:r>
    </w:p>
    <w:p>
      <w:pPr>
        <w:spacing w:after="0" w:line="239"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existing regulations and regulatory developments in the United States and other jurisdictions;</w:t>
      </w:r>
    </w:p>
    <w:p>
      <w:pPr>
        <w:spacing w:after="0" w:line="238" w:lineRule="exact"/>
        <w:rPr>
          <w:rFonts w:ascii="Symbol" w:cs="Symbol" w:eastAsia="Symbol" w:hAnsi="Symbol"/>
          <w:sz w:val="20"/>
          <w:szCs w:val="20"/>
          <w:color w:val="auto"/>
        </w:rPr>
      </w:pPr>
    </w:p>
    <w:p>
      <w:pPr>
        <w:jc w:val="both"/>
        <w:ind w:left="980" w:right="100" w:hanging="361"/>
        <w:spacing w:after="0" w:line="251" w:lineRule="auto"/>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general economic, industry, and market conditions and geopolitical developments, including interest rates, capital market disruptions, changes in or disruptions of U.S. governmental agencies, new or increased tariffs and retaliatory tariffs, trade protection measures, economic sanctions and economic slowdowns or recessions, and inflation;</w:t>
      </w:r>
    </w:p>
    <w:p>
      <w:pPr>
        <w:spacing w:after="0" w:line="207"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attract, hire, and retain our key personnel and additional qualified personnel;</w:t>
      </w:r>
    </w:p>
    <w:p>
      <w:pPr>
        <w:spacing w:after="0" w:line="239"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anticipated use of our existing cash, cash equivalents and short-term investments;</w:t>
      </w:r>
    </w:p>
    <w:p>
      <w:pPr>
        <w:spacing w:after="0" w:line="238" w:lineRule="exact"/>
        <w:rPr>
          <w:rFonts w:ascii="Symbol" w:cs="Symbol" w:eastAsia="Symbol" w:hAnsi="Symbol"/>
          <w:sz w:val="20"/>
          <w:szCs w:val="20"/>
          <w:color w:val="auto"/>
        </w:rPr>
      </w:pPr>
    </w:p>
    <w:p>
      <w:pPr>
        <w:ind w:left="980" w:hanging="361"/>
        <w:spacing w:after="0"/>
        <w:tabs>
          <w:tab w:leader="none" w:pos="980" w:val="left"/>
        </w:tabs>
        <w:numPr>
          <w:ilvl w:val="0"/>
          <w:numId w:val="3"/>
        </w:numPr>
        <w:rPr>
          <w:rFonts w:ascii="Symbol" w:cs="Symbol" w:eastAsia="Symbol" w:hAnsi="Symbol"/>
          <w:sz w:val="20"/>
          <w:szCs w:val="20"/>
          <w:color w:val="auto"/>
        </w:rPr>
      </w:pPr>
      <w:r>
        <w:rPr>
          <w:rFonts w:ascii="Times New Roman" w:cs="Times New Roman" w:eastAsia="Times New Roman" w:hAnsi="Times New Roman"/>
          <w:sz w:val="20"/>
          <w:szCs w:val="20"/>
          <w:color w:val="auto"/>
        </w:rPr>
        <w:t>our estimates regarding expenses, future revenue, capital requirements and needs for additional financing; and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10800"/>
          </w:cols>
          <w:pgMar w:left="720" w:top="1285" w:right="720" w:bottom="371" w:gutter="0" w:footer="0" w:header="0"/>
        </w:sectPr>
      </w:pPr>
    </w:p>
    <w:bookmarkStart w:id="4" w:name="page5"/>
    <w:bookmarkEnd w:id="4"/>
    <w:p>
      <w:pPr>
        <w:ind w:left="980" w:hanging="361"/>
        <w:spacing w:after="0"/>
        <w:tabs>
          <w:tab w:leader="none" w:pos="980" w:val="left"/>
        </w:tabs>
        <w:numPr>
          <w:ilvl w:val="0"/>
          <w:numId w:val="4"/>
        </w:numPr>
        <w:rPr>
          <w:rFonts w:ascii="Symbol" w:cs="Symbol" w:eastAsia="Symbol" w:hAnsi="Symbol"/>
          <w:sz w:val="20"/>
          <w:szCs w:val="20"/>
          <w:color w:val="auto"/>
        </w:rPr>
      </w:pPr>
      <w:r>
        <w:rPr>
          <w:rFonts w:ascii="Times New Roman" w:cs="Times New Roman" w:eastAsia="Times New Roman" w:hAnsi="Times New Roman"/>
          <w:sz w:val="20"/>
          <w:szCs w:val="20"/>
          <w:color w:val="auto"/>
        </w:rPr>
        <w:t>other risks and uncertainties, including those listed under the caption “Risk Factors.”</w:t>
      </w:r>
    </w:p>
    <w:p>
      <w:pPr>
        <w:spacing w:after="0" w:line="2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Investors should not rely on such forward-looking statements because they involve known and unknown risks, uncertainties and other factors, which are, in some cases, beyond our control and which could materially affect results. Factors that may cause actual results to differ materially from those implied or projected by forward-looking statements include, among other things, those listed under the section titled “Risk Factors” and elsewhere in this Annual Report.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Investors should read this Annual Report, the documents that we reference in this Annual Report and the other documents that we file with the Securities and Exchange Commission (“SEC”) with the understanding that our actual future results may be materially different from any future results expressed or implied by these forward-looking statements.</w:t>
      </w:r>
    </w:p>
    <w:p>
      <w:pPr>
        <w:spacing w:after="0" w:line="208"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20"/>
          <w:szCs w:val="20"/>
          <w:color w:val="auto"/>
        </w:rPr>
        <w:t>While we may elect to update these forward-looking statements at some point in the future, we have no current intention of doing so except to the extent required by applicable law. Investors should therefore not rely on these forward-looking statements as representing our views as of any date subsequent to the date of this Annual Report.</w:t>
      </w:r>
    </w:p>
    <w:p>
      <w:pPr>
        <w:spacing w:after="0" w:line="18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800"/>
          </w:cols>
          <w:pgMar w:left="720" w:top="945" w:right="720" w:bottom="371"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business is subject to numerous risks and uncertainties, which include, but are not limited to, the following:</w:t>
      </w:r>
    </w:p>
    <w:p>
      <w:pPr>
        <w:spacing w:after="0" w:line="255" w:lineRule="exact"/>
        <w:rPr>
          <w:sz w:val="20"/>
          <w:szCs w:val="20"/>
          <w:color w:val="auto"/>
        </w:rPr>
      </w:pPr>
    </w:p>
    <w:p>
      <w:pPr>
        <w:ind w:left="980" w:right="100" w:hanging="354"/>
        <w:spacing w:after="0" w:line="247"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211" w:lineRule="exact"/>
        <w:rPr>
          <w:rFonts w:ascii="Symbol" w:cs="Symbol" w:eastAsia="Symbol" w:hAnsi="Symbol"/>
          <w:sz w:val="20"/>
          <w:szCs w:val="20"/>
          <w:color w:val="auto"/>
        </w:rPr>
      </w:pPr>
    </w:p>
    <w:p>
      <w:pPr>
        <w:ind w:left="980" w:right="20" w:hanging="354"/>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207" w:lineRule="exact"/>
        <w:rPr>
          <w:rFonts w:ascii="Symbol" w:cs="Symbol" w:eastAsia="Symbol" w:hAnsi="Symbol"/>
          <w:sz w:val="20"/>
          <w:szCs w:val="20"/>
          <w:color w:val="auto"/>
        </w:rPr>
      </w:pPr>
    </w:p>
    <w:p>
      <w:pPr>
        <w:ind w:left="980" w:right="20" w:hanging="354"/>
        <w:spacing w:after="0" w:line="262"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Verekitug is our only product candidate, and we are dependent on a third party having accurately generated, collected and reported data from certain preclinical studies that were previously conducted for verekitug.</w:t>
      </w:r>
    </w:p>
    <w:p>
      <w:pPr>
        <w:spacing w:after="0" w:line="195" w:lineRule="exact"/>
        <w:rPr>
          <w:rFonts w:ascii="Symbol" w:cs="Symbol" w:eastAsia="Symbol" w:hAnsi="Symbol"/>
          <w:sz w:val="20"/>
          <w:szCs w:val="20"/>
          <w:color w:val="auto"/>
        </w:rPr>
      </w:pPr>
    </w:p>
    <w:p>
      <w:pPr>
        <w:ind w:left="980" w:right="20" w:hanging="354"/>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207" w:lineRule="exact"/>
        <w:rPr>
          <w:rFonts w:ascii="Symbol" w:cs="Symbol" w:eastAsia="Symbol" w:hAnsi="Symbol"/>
          <w:sz w:val="20"/>
          <w:szCs w:val="20"/>
          <w:color w:val="auto"/>
        </w:rPr>
      </w:pPr>
    </w:p>
    <w:p>
      <w:pPr>
        <w:ind w:left="980" w:right="500" w:hanging="354"/>
        <w:spacing w:after="0" w:line="262"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The successful development of pharmaceutical products involves a lengthy and expensive process and is highly uncertain.</w:t>
      </w:r>
    </w:p>
    <w:p>
      <w:pPr>
        <w:spacing w:after="0" w:line="195" w:lineRule="exact"/>
        <w:rPr>
          <w:rFonts w:ascii="Symbol" w:cs="Symbol" w:eastAsia="Symbol" w:hAnsi="Symbol"/>
          <w:sz w:val="20"/>
          <w:szCs w:val="20"/>
          <w:color w:val="auto"/>
        </w:rPr>
      </w:pPr>
    </w:p>
    <w:p>
      <w:pPr>
        <w:jc w:val="both"/>
        <w:ind w:left="980" w:right="60" w:hanging="354"/>
        <w:spacing w:after="0" w:line="247"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The regulatory approval processes of the FDA, the European Medicines Agency,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212" w:lineRule="exact"/>
        <w:rPr>
          <w:rFonts w:ascii="Symbol" w:cs="Symbol" w:eastAsia="Symbol" w:hAnsi="Symbol"/>
          <w:sz w:val="20"/>
          <w:szCs w:val="20"/>
          <w:color w:val="auto"/>
        </w:rPr>
      </w:pPr>
    </w:p>
    <w:p>
      <w:pPr>
        <w:ind w:left="980" w:right="180" w:hanging="354"/>
        <w:spacing w:after="0" w:line="262"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Verekitug represents a novel approach to the treatment of inflammatory diseases, which makes it difficult to predict its likelihood of success and the timing and cost of development and obtaining regulatory approval.</w:t>
      </w:r>
    </w:p>
    <w:p>
      <w:pPr>
        <w:spacing w:after="0" w:line="195" w:lineRule="exact"/>
        <w:rPr>
          <w:rFonts w:ascii="Symbol" w:cs="Symbol" w:eastAsia="Symbol" w:hAnsi="Symbol"/>
          <w:sz w:val="20"/>
          <w:szCs w:val="20"/>
          <w:color w:val="auto"/>
        </w:rPr>
      </w:pPr>
    </w:p>
    <w:p>
      <w:pPr>
        <w:jc w:val="both"/>
        <w:ind w:left="980" w:hanging="354"/>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207" w:lineRule="exact"/>
        <w:rPr>
          <w:rFonts w:ascii="Symbol" w:cs="Symbol" w:eastAsia="Symbol" w:hAnsi="Symbol"/>
          <w:sz w:val="20"/>
          <w:szCs w:val="20"/>
          <w:color w:val="auto"/>
        </w:rPr>
      </w:pPr>
    </w:p>
    <w:p>
      <w:pPr>
        <w:ind w:left="980" w:right="40" w:hanging="354"/>
        <w:spacing w:after="0" w:line="244"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216" w:lineRule="exact"/>
        <w:rPr>
          <w:rFonts w:ascii="Symbol" w:cs="Symbol" w:eastAsia="Symbol" w:hAnsi="Symbol"/>
          <w:sz w:val="20"/>
          <w:szCs w:val="20"/>
          <w:color w:val="auto"/>
        </w:rPr>
      </w:pPr>
    </w:p>
    <w:p>
      <w:pPr>
        <w:ind w:left="980" w:right="20" w:hanging="354"/>
        <w:spacing w:after="0" w:line="251"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207" w:lineRule="exact"/>
        <w:rPr>
          <w:rFonts w:ascii="Symbol" w:cs="Symbol" w:eastAsia="Symbol" w:hAnsi="Symbol"/>
          <w:sz w:val="20"/>
          <w:szCs w:val="20"/>
          <w:color w:val="auto"/>
        </w:rPr>
      </w:pPr>
    </w:p>
    <w:p>
      <w:pPr>
        <w:ind w:left="980" w:hanging="354"/>
        <w:spacing w:after="0" w:line="247"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212" w:lineRule="exact"/>
        <w:rPr>
          <w:rFonts w:ascii="Symbol" w:cs="Symbol" w:eastAsia="Symbol" w:hAnsi="Symbol"/>
          <w:sz w:val="20"/>
          <w:szCs w:val="20"/>
          <w:color w:val="auto"/>
        </w:rPr>
      </w:pPr>
    </w:p>
    <w:p>
      <w:pPr>
        <w:ind w:left="980" w:right="20" w:hanging="354"/>
        <w:spacing w:after="0" w:line="247" w:lineRule="auto"/>
        <w:tabs>
          <w:tab w:leader="none" w:pos="980" w:val="left"/>
        </w:tabs>
        <w:numPr>
          <w:ilvl w:val="0"/>
          <w:numId w:val="5"/>
        </w:numPr>
        <w:rPr>
          <w:rFonts w:ascii="Symbol" w:cs="Symbol" w:eastAsia="Symbol" w:hAnsi="Symbol"/>
          <w:sz w:val="20"/>
          <w:szCs w:val="20"/>
          <w:color w:val="auto"/>
        </w:rPr>
      </w:pPr>
      <w:r>
        <w:rPr>
          <w:rFonts w:ascii="Times New Roman" w:cs="Times New Roman" w:eastAsia="Times New Roman" w:hAnsi="Times New Roman"/>
          <w:sz w:val="20"/>
          <w:szCs w:val="20"/>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 Our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10420"/>
          </w:cols>
          <w:pgMar w:left="900" w:top="1047" w:right="920" w:bottom="371" w:gutter="0" w:footer="0" w:header="0"/>
        </w:sectPr>
      </w:pPr>
    </w:p>
    <w:bookmarkStart w:id="6" w:name="page7"/>
    <w:bookmarkEnd w:id="6"/>
    <w:p>
      <w:pPr>
        <w:ind w:left="980" w:right="240"/>
        <w:spacing w:after="0" w:line="278" w:lineRule="auto"/>
        <w:rPr>
          <w:sz w:val="20"/>
          <w:szCs w:val="20"/>
          <w:color w:val="auto"/>
        </w:rPr>
      </w:pPr>
      <w:r>
        <w:rPr>
          <w:rFonts w:ascii="Times New Roman" w:cs="Times New Roman" w:eastAsia="Times New Roman" w:hAnsi="Times New Roman"/>
          <w:sz w:val="20"/>
          <w:szCs w:val="20"/>
          <w:color w:val="auto"/>
        </w:rPr>
        <w:t>competitors may have significantly greater financial resources and expertise such that they may be more successful than us in obtaining regulatory approval and achieving widespread market acceptance.</w:t>
      </w:r>
    </w:p>
    <w:p>
      <w:pPr>
        <w:spacing w:after="0" w:line="182" w:lineRule="exact"/>
        <w:rPr>
          <w:sz w:val="20"/>
          <w:szCs w:val="20"/>
          <w:color w:val="auto"/>
        </w:rPr>
      </w:pPr>
    </w:p>
    <w:p>
      <w:pPr>
        <w:ind w:left="980" w:right="120" w:hanging="354"/>
        <w:spacing w:after="0" w:line="262"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We expect to expand our organization, and as a result, we may encounter difficulties in managing our growth, which could disrupt our operations.</w:t>
      </w:r>
    </w:p>
    <w:p>
      <w:pPr>
        <w:spacing w:after="0" w:line="195" w:lineRule="exact"/>
        <w:rPr>
          <w:rFonts w:ascii="Symbol" w:cs="Symbol" w:eastAsia="Symbol" w:hAnsi="Symbol"/>
          <w:sz w:val="20"/>
          <w:szCs w:val="20"/>
          <w:color w:val="auto"/>
        </w:rPr>
      </w:pPr>
    </w:p>
    <w:p>
      <w:pPr>
        <w:ind w:left="980" w:right="280" w:hanging="354"/>
        <w:spacing w:after="0" w:line="262"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develop verekitug or any other potential future product candidates and our future growth depends on attracting, hiring and retaining our key personnel and recruiting additional qualified personnel.</w:t>
      </w:r>
    </w:p>
    <w:p>
      <w:pPr>
        <w:spacing w:after="0" w:line="195" w:lineRule="exact"/>
        <w:rPr>
          <w:rFonts w:ascii="Symbol" w:cs="Symbol" w:eastAsia="Symbol" w:hAnsi="Symbol"/>
          <w:sz w:val="20"/>
          <w:szCs w:val="20"/>
          <w:color w:val="auto"/>
        </w:rPr>
      </w:pPr>
    </w:p>
    <w:p>
      <w:pPr>
        <w:ind w:left="980" w:hanging="354"/>
        <w:spacing w:after="0" w:line="247"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212" w:lineRule="exact"/>
        <w:rPr>
          <w:rFonts w:ascii="Symbol" w:cs="Symbol" w:eastAsia="Symbol" w:hAnsi="Symbol"/>
          <w:sz w:val="20"/>
          <w:szCs w:val="20"/>
          <w:color w:val="auto"/>
        </w:rPr>
      </w:pPr>
    </w:p>
    <w:p>
      <w:pPr>
        <w:ind w:left="980" w:right="300" w:hanging="354"/>
        <w:spacing w:after="0" w:line="250"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or drug products when needed or at an acceptable cost.</w:t>
      </w:r>
    </w:p>
    <w:p>
      <w:pPr>
        <w:spacing w:after="0" w:line="210" w:lineRule="exact"/>
        <w:rPr>
          <w:rFonts w:ascii="Symbol" w:cs="Symbol" w:eastAsia="Symbol" w:hAnsi="Symbol"/>
          <w:sz w:val="20"/>
          <w:szCs w:val="20"/>
          <w:color w:val="auto"/>
        </w:rPr>
      </w:pPr>
    </w:p>
    <w:p>
      <w:pPr>
        <w:ind w:left="980" w:right="320" w:hanging="354"/>
        <w:spacing w:after="0" w:line="262" w:lineRule="auto"/>
        <w:tabs>
          <w:tab w:leader="none" w:pos="980" w:val="left"/>
        </w:tabs>
        <w:numPr>
          <w:ilvl w:val="0"/>
          <w:numId w:val="6"/>
        </w:numPr>
        <w:rPr>
          <w:rFonts w:ascii="Symbol" w:cs="Symbol" w:eastAsia="Symbol" w:hAnsi="Symbol"/>
          <w:sz w:val="20"/>
          <w:szCs w:val="20"/>
          <w:color w:val="auto"/>
        </w:rPr>
      </w:pPr>
      <w:r>
        <w:rPr>
          <w:rFonts w:ascii="Times New Roman" w:cs="Times New Roman" w:eastAsia="Times New Roman" w:hAnsi="Times New Roman"/>
          <w:sz w:val="20"/>
          <w:szCs w:val="20"/>
          <w:color w:val="auto"/>
        </w:rPr>
        <w:t>Our success is largely based upon our intellectual property and proprietary technologies, and we may be unable to protect and/or enforce our intellectual property.</w:t>
      </w:r>
    </w:p>
    <w:p>
      <w:pPr>
        <w:spacing w:after="0" w:line="181" w:lineRule="exact"/>
        <w:rPr>
          <w:sz w:val="20"/>
          <w:szCs w:val="20"/>
          <w:color w:val="auto"/>
        </w:rPr>
      </w:pPr>
    </w:p>
    <w:p>
      <w:pPr>
        <w:jc w:val="both"/>
        <w:ind w:right="120"/>
        <w:spacing w:after="0" w:line="249" w:lineRule="auto"/>
        <w:rPr>
          <w:sz w:val="20"/>
          <w:szCs w:val="20"/>
          <w:color w:val="auto"/>
        </w:rPr>
      </w:pPr>
      <w:r>
        <w:rPr>
          <w:rFonts w:ascii="Times New Roman" w:cs="Times New Roman" w:eastAsia="Times New Roman" w:hAnsi="Times New Roman"/>
          <w:sz w:val="20"/>
          <w:szCs w:val="20"/>
          <w:color w:val="auto"/>
        </w:rPr>
        <w:t>The summary risk factors described above should be read together with the text of the full risk factors in the section titled “Risk Factors” and the other information set forth in this Annual Report, as well as in other documents that we file with the SEC. The risks summarized above or described in full elsewhere in this Annual Report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10440"/>
          </w:cols>
          <w:pgMar w:left="900" w:top="929" w:right="900" w:bottom="371"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including a long-term safety and efficacy extension study (“Phase 2 LTE”), chronic rhinosinusitis with nasal polyps (“CRSwNP”), and chronic obstructive pulmonary disease (“COPD”). We reported positive top-line results in our CRSwNP Phase 2 trial in September 2025 and positive top-line results in our severe asthma Phase 2 trial in February 2026. We initiated our Phase 2 COPD trial in July 2025. We plan to initiate dosing in Phase 3 trials in both severe asthma and CRSwNP in the first quarter of 2027, prioritizing a Phase 3 development strategy that focuses on maximizing efficacy in both indications, without biomarker restriction, with quarterly at-home administration. Our experienced team is committed to maximizing verekitug’s unique attributes to address the substantial unmet needs for patients underserved by today’s standard of care.</w:t>
      </w:r>
    </w:p>
    <w:p>
      <w:pPr>
        <w:spacing w:after="0" w:line="213"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There are seven biologics approved for the treatment of severe asthma; four of these biologics are also approved for CRSwNP, and two are also approved for the treatment of COPD. Total estimated biologics sales in 2023 for asthma in the United States, Europe and Japan markets were approximately $7.5 billion. In December 2021, tezepelumab (marketed as Tezspire by Amgen Inc. (“Amgen”) and AstraZeneca PLC (“AstraZeneca”)), a monoclonal antibody targeting the TSLP ligand, not the receptor, was approved by the U.S. Food and Drug Administration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Tezepelumab is projected to reach global annual sales of over $3.0 billion for severe asthma alone in 2032 and, according to Amgen, achieved more than 20% of new to brand share of prescriptions in the United States in its first commercial year. In May 2024, Amgen and AstraZeneca reported Phase 2a proof-of-concept data for tezepelumab for the treatment of moderate to very severe COPD at the American Thoracic Society (“ATS”) International Conference. This trial reported a reduction in the frequency of COPD exacerbations that has supported advancement of tezepelumab into Phase 3 development for COPD. These clinical data further demonstrate the potential for a TSLP targeted therapy to treat a variety of inflammatory diseases. Tezepelumab is projected to reach global annual sales of over $5.0 billion for COPD alone in 2033, if approved in this indication. The projections for tezepelumab’s global annual sales are not indicative of the potential market opportunity for verekitug and are subject to a number of assumptions, risks and uncertainties that could cause them to be smaller than currently estimated. Despite the availability of existing biologics for severe respiratory disease, there remains a high unmet need that limits the utilization of these therapies, including suboptimal symptom control and frequent dosing intervals.</w:t>
      </w:r>
    </w:p>
    <w:p>
      <w:pPr>
        <w:spacing w:after="0" w:line="20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 xml:space="preserve">Verekitug is, to our knowledge, the only monoclonal antibody currently in clinical development that targets and inhibits the TSLP receptor. In May 2024, we presented full proof-of-concept data from our multicenter, randomized, double-blind, placebo-controlled Phase 1b multiple ascending dose (“MAD”) clinical trial in asthma patients demonstrating that dosing with verekitug led to rapid and complete TSLP receptor occupancy, and reductions in fractional exhaled nitric oxide (“FeNO,” a disease-related biomarker) and blood eosinophil levels (“eos,” a disease-related biomarker) that were rapid, substantial and sustained for up to 24 weeks after the last dose. This study also demonstrated that verekitug is approximately 300-fold more potent than tezepelumab (based on published tezepelumab data), which, combined with verekitug’s pharmacokinetic (“PK”) profile, enables an extended dosing interval of up to 24 weeks, compared to tezepelumab (four-week dosing interval). Furthermore, clinical data from our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Three Phase 1 clinical trials have been completed for verekitug across a total of 120 participants, including 32 patients with asthma. In these trials, which were not designed to support formal statistical comparisons, verekitug was well tolerated, demonstrated no evidence of clinically meaningful anti-drug antibodies (“ADAs”), and showed a predictable and consistent PK profile with high subcutaneous bioavailability. In December 2025, the full manuscript from the MAD trial was published in </w:t>
      </w:r>
      <w:r>
        <w:rPr>
          <w:rFonts w:ascii="Times New Roman" w:cs="Times New Roman" w:eastAsia="Times New Roman" w:hAnsi="Times New Roman"/>
          <w:sz w:val="20"/>
          <w:szCs w:val="20"/>
          <w:i w:val="1"/>
          <w:iCs w:val="1"/>
          <w:color w:val="auto"/>
        </w:rPr>
        <w:t>Clinical Pharmacology and Therapeutics</w:t>
      </w:r>
      <w:r>
        <w:rPr>
          <w:rFonts w:ascii="Times New Roman" w:cs="Times New Roman" w:eastAsia="Times New Roman" w:hAnsi="Times New Roman"/>
          <w:sz w:val="20"/>
          <w:szCs w:val="20"/>
          <w:color w:val="auto"/>
        </w:rPr>
        <w:t>. Based on its extended dosing interval and effect on broadly accepted disease-associated biomarkers, we believe verekitug, if approved, will be the preferred biologic for the treatment of severe asthma, CRSwNP and COPD.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10420"/>
          </w:cols>
          <w:pgMar w:left="900" w:top="925" w:right="920" w:bottom="371" w:gutter="0" w:footer="0" w:header="0"/>
        </w:sectPr>
      </w:pPr>
    </w:p>
    <w:bookmarkStart w:id="8" w:name="page9"/>
    <w:bookmarkEnd w:id="8"/>
    <w:p>
      <w:pPr>
        <w:spacing w:after="0" w:line="244" w:lineRule="auto"/>
        <w:rPr>
          <w:sz w:val="20"/>
          <w:szCs w:val="20"/>
          <w:color w:val="auto"/>
        </w:rPr>
      </w:pPr>
      <w:r>
        <w:rPr>
          <w:rFonts w:ascii="Times New Roman" w:cs="Times New Roman" w:eastAsia="Times New Roman" w:hAnsi="Times New Roman"/>
          <w:sz w:val="20"/>
          <w:szCs w:val="20"/>
          <w:color w:val="auto"/>
        </w:rPr>
        <w:t>Our current clinical development pipeline for verekitug is summarized in the chart below. We conducted two separate multi-national, placebo-controlled, randomized Phase 2 clinical trials to investigate the efficacy of two extended dosing intervals of 12 and 24 weeks for patients with severe asthma and 12 weeks for patients with CRSwNP. These trials were designed using endpoints that, pending interactions with regulatory authorities, could allow data from these trials to support submissions for product approval. We announced data from the Phase 2 clinical trial in CRSwNP in September 2025 and data from the Phase 2 clinical trial in severe asthma in February 2026. We plan to initiate dosing in Phase 3 trials in both severe asthma and CRSwNP in the first quarter of 2027, prioritizing a Phase 3 development strategy that focuses on maximizing efficacy in both indications, without biomarker restriction, with quarterly at-home administration. Based on available data from Phase 1 clinical trials with verekitug, we initiated our Phase 2 clinical trial in COPD in July 2025. Beyond these indications, we believe verekitug has broad potential, and we intend to leverage its unique attributes to develop it as a potential therapy for numerous TSLP-driven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61595</wp:posOffset>
            </wp:positionV>
            <wp:extent cx="6626225" cy="257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6626225" cy="257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00" w:hanging="493"/>
        <w:spacing w:after="0"/>
        <w:tabs>
          <w:tab w:leader="none" w:pos="500"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Phase 3 preparation initiated in both CRSwNP and severe asthma.</w:t>
      </w:r>
    </w:p>
    <w:p>
      <w:pPr>
        <w:spacing w:after="0" w:line="22" w:lineRule="exact"/>
        <w:rPr>
          <w:sz w:val="20"/>
          <w:szCs w:val="20"/>
          <w:color w:val="auto"/>
        </w:rPr>
      </w:pPr>
    </w:p>
    <w:p>
      <w:pPr>
        <w:ind w:left="500" w:right="60" w:hanging="493"/>
        <w:spacing w:after="0" w:line="249" w:lineRule="auto"/>
        <w:tabs>
          <w:tab w:leader="none" w:pos="500"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VALOUR is a Phase 2 long-term safety and efficacy study of verekitug in eligible participants with severe asthma who completed the Phase 2 VALIANT study.</w:t>
      </w:r>
    </w:p>
    <w:p>
      <w:pPr>
        <w:spacing w:after="0" w:line="321" w:lineRule="exact"/>
        <w:rPr>
          <w:sz w:val="20"/>
          <w:szCs w:val="20"/>
          <w:color w:val="auto"/>
        </w:rPr>
      </w:pPr>
    </w:p>
    <w:p>
      <w:pPr>
        <w:ind w:right="3080"/>
        <w:spacing w:after="0" w:line="36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Leveraging TSLP biology to address unmet needs in severe asthma, CRSwNP and COPD </w:t>
      </w:r>
      <w:r>
        <w:rPr>
          <w:rFonts w:ascii="Times New Roman" w:cs="Times New Roman" w:eastAsia="Times New Roman" w:hAnsi="Times New Roman"/>
          <w:sz w:val="20"/>
          <w:szCs w:val="20"/>
          <w:i w:val="1"/>
          <w:iCs w:val="1"/>
          <w:color w:val="auto"/>
        </w:rPr>
        <w:t>TSLP overview</w:t>
      </w:r>
    </w:p>
    <w:p>
      <w:pPr>
        <w:ind w:right="140"/>
        <w:spacing w:after="0" w:line="258" w:lineRule="auto"/>
        <w:rPr>
          <w:sz w:val="20"/>
          <w:szCs w:val="20"/>
          <w:color w:val="auto"/>
        </w:rPr>
      </w:pPr>
      <w:r>
        <w:rPr>
          <w:rFonts w:ascii="Times New Roman" w:cs="Times New Roman" w:eastAsia="Times New Roman" w:hAnsi="Times New Roman"/>
          <w:sz w:val="19"/>
          <w:szCs w:val="19"/>
          <w:color w:val="auto"/>
        </w:rPr>
        <w:t>Verekitug is a monoclonal antibody that targets and inhibits the TSLP receptor. TSLP is a member of a class of epithelial cytokines, also including IL-25 and IL-33, commonly referred to as alarmins. TSLP is primarily produced by epithelial cells, especially in the lung, gastrointestinal tract and skin. Dendritic cells, basophils, mast cells, keratinocytes and fibroblasts also produce TSLP with appropriate stimulation. In response to various environmental triggers, including viruses, bacteria, allergens, chemical irritants and physical injury, TSLP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 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COPD.</w:t>
      </w:r>
    </w:p>
    <w:p>
      <w:pPr>
        <w:spacing w:after="0" w:line="19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TSLP signaling pathway is well-understood as a contributor to disease-driving proinflammatory pathways and is a clinically and commercially validated target for therapeutic development. Historically, development of biologics for severe asthma and related conditions has focused on type 2 inflammatory cytokines that are activated downstream in the TSLP signaling pathway, for instance IL-4, IL-5 and IL-13. However, in addition to its effect on type 2 inflammation, emerging evidence indicates that TSLP also impacts non-type 2 inflammation, which may result in broader downregulation of pathways relevant to the pathogenesis of multiple inflammatory diseases. We believe verekitug has the potential, if approved, to address unmet needs in multiple diseases characterized by TSLP-driven pathobiology due to the high potency and potential for extended dosing intervals that we have observed in our preclinical and clinical development to date.</w:t>
      </w:r>
    </w:p>
    <w:p>
      <w:pPr>
        <w:spacing w:after="0" w:line="201"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Only one drug targeting the TSLP pathway has been approved for the treatment of severe asthma. In December 2021, tezepelumab (marketed as Tezspire by Amgen and AstraZeneca), a monoclonal antibody targeting the TSLP ligand, not the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10420"/>
          </w:cols>
          <w:pgMar w:left="900" w:top="929" w:right="920" w:bottom="371" w:gutter="0" w:footer="0" w:header="0"/>
        </w:sectPr>
      </w:pPr>
    </w:p>
    <w:bookmarkStart w:id="9" w:name="page10"/>
    <w:bookmarkEnd w:id="9"/>
    <w:p>
      <w:pPr>
        <w:spacing w:after="0" w:line="242" w:lineRule="auto"/>
        <w:rPr>
          <w:sz w:val="20"/>
          <w:szCs w:val="20"/>
          <w:color w:val="auto"/>
        </w:rPr>
      </w:pPr>
      <w:r>
        <w:rPr>
          <w:rFonts w:ascii="Times New Roman" w:cs="Times New Roman" w:eastAsia="Times New Roman" w:hAnsi="Times New Roman"/>
          <w:sz w:val="20"/>
          <w:szCs w:val="20"/>
          <w:color w:val="auto"/>
        </w:rPr>
        <w:t>receptor, was approved by the FDA as an add-on maintenance treatment for patients with severe asthma. Tezepelumab is the first and only treatment for severe asthma without any phenotype or biomarker limitation, highlighting the benefit of blocking TSLP signaling early in the inflammatory cascade as compared to other biologics’ mechanisms of action which are further downstream. In the Phase 3 clinical trial of tezepelumab in adults and adolescents with severe, uncontrolled asthma, patients who received tezepelumab had fewer exacerbations and better lung function, asthma control and health-related quality of life than those who received placebo. Based on pooled safety data from the clinical trials of tezepelumab, Tezspire’s FDA approved label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 Furthermore, a Phase 2a clinical trial for tezepelumab in COPD patients, which demonstrated a clinically-significant reduction of COPD exacerbations, the most frequently reported adverse events for tezepelumab were worsening of COPD (12.1%) and incidents of COVID-19 infections (14.5%, trial commenced in July 2019), demonstrating a safety and tolerability profile consistent with that observed for tezepelumab in severe asthma. In October 2025, tezepelumab was approved in the U.S. for the add-on maintenance treatment of adult and pediatric patients aged 12 years and older with inadequately controlled CRSwNP. This approval was based on the efficacy and safety data from its Phase 3 trial; in this study, tezepelumab demonstrated a reduction in nasal polyp severity and showed reduction for the need for surgery and systemic corticosteroid use versus placebo. These clinical data further demonstrate the potential for a TSLP targeted therapy to treat a variety of inflammatory diseases.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Severe asthma</w:t>
      </w:r>
    </w:p>
    <w:p>
      <w:pPr>
        <w:spacing w:after="0" w:line="1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Asthma is a common respiratory disease characterized by chronic airway inflammation that is often underdiagnosed and under-treated. For some people, asthma can simply be a nuisance, for others it can interfere with daily life and potentially even be life-threatening. Of the more than 25 million Americans living with asthma, it is estimated that 5% to 10% suffer from severe asthma. Severe asthma is defined as asthma that remains uncontrolled despite optimized treatment with high-dose inhaled corticosteroids or that requires high-dosed inhaled corticosteroids to prevent symptoms from becoming uncontrolled. It is estimated that approximately 90% of people with severe asthma are eligible for biologics, but only 440,000 patients are currently treated with biologics, suggesting more than 80% of eligible patients are not being optimally treated. In 2023, global sales of biologics for the treatment of severe asthma were approximately $7.5 billion.</w:t>
      </w:r>
    </w:p>
    <w:p>
      <w:pPr>
        <w:spacing w:after="0" w:line="2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These statistics show there is a large population of people living with uncontrolled symptoms of severe asthma. Key areas of unmet need for people living with severe asthma include improved control of exacerbations and symptoms and reduced treatment burden (e.g., need for frequent injections).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Chronic rhinosinusitis with nasal polyps (CRSwNP)</w:t>
      </w:r>
    </w:p>
    <w:p>
      <w:pPr>
        <w:spacing w:after="0" w:line="11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CRSwNP is an inflammatory disease of the upper airway, marked by chronic sinonasal inflammation and the presence of inflammatory polyps in the nasal passages and paranasal sinuses. It is estimated by Sanofi that approximately 900,000 patients in the United States and Europe suffer from CRSwNP. Nasal polyps are associated with significant morbidity and debilitating symptoms; it is estimated that more than 40% of people with severe asthma also have CRSwNP and that up to 70% of people with CRSwNP also have asthma, demonstrating a strong association between the two conditions.</w:t>
      </w:r>
    </w:p>
    <w:p>
      <w:pPr>
        <w:spacing w:after="0" w:line="19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current treatment options for patients with CRSwNP are corticosteroids, surgery and, more recently, biologics. Although a treatment option, surgery does not guarantee symptom relief. Even with surgery, many people with CRSwNP remain symptomatic, with the recurrence rate of CRSwNP ranging from 20% to 60% within 18 months to four years and increasing to 79% after 12 years. Recurrence is particularly common for people with severe disease, including those also living with asthma or who have undergone prior surgeries. The recent FDA approvals of biologic treatments for CRSwNP have established a well-understood regulatory pathway and route to commercialization. It is estimated that approximately 300,000 adult patients in the United States are eligible for biologics.</w:t>
      </w:r>
    </w:p>
    <w:p>
      <w:pPr>
        <w:spacing w:after="0" w:line="20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Despite these available treatments, the quality of life (“QoL”) studies and post-surgical recurrence rates clearly show that many people with CRSwNP have uncontrolled symptoms that are impacting their daily life and current treatments are not meeting their needs.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Chronic obstructive pulmonary disease (COPD)</w:t>
      </w:r>
    </w:p>
    <w:p>
      <w:pPr>
        <w:spacing w:after="0" w:line="11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Similar to asthma, COPD is a chronic inflammatory disease that obstructs airflow from the lungs. Chronic inflammation causes structural changes within the lungs, narrowing already small airways and damaging lung parenchyma which causes air sacs to lose functionality and decreases lung elasticity. It is typically caused by long-term exposure to irritants, most often cigarette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10380"/>
          </w:cols>
          <w:pgMar w:left="900" w:top="929" w:right="960" w:bottom="371" w:gutter="0" w:footer="0" w:header="0"/>
        </w:sectPr>
      </w:pPr>
    </w:p>
    <w:bookmarkStart w:id="10" w:name="page11"/>
    <w:bookmarkEnd w:id="10"/>
    <w:p>
      <w:pPr>
        <w:ind w:right="440"/>
        <w:spacing w:after="0" w:line="278" w:lineRule="auto"/>
        <w:rPr>
          <w:sz w:val="20"/>
          <w:szCs w:val="20"/>
          <w:color w:val="auto"/>
        </w:rPr>
      </w:pPr>
      <w:r>
        <w:rPr>
          <w:rFonts w:ascii="Times New Roman" w:cs="Times New Roman" w:eastAsia="Times New Roman" w:hAnsi="Times New Roman"/>
          <w:sz w:val="20"/>
          <w:szCs w:val="20"/>
          <w:color w:val="auto"/>
        </w:rPr>
        <w:t>smoke. People with a history of asthma are also more likely to have COPD. Historically, COPD has been considered to have elements of both type 2 and non-type 2 immune responses.</w:t>
      </w:r>
    </w:p>
    <w:p>
      <w:pPr>
        <w:spacing w:after="0" w:line="168"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COPD is the fourth leading cause of death worldwide, causing approximately 3.5 million deaths in 2021. Almost 14.2 million Americans, or 6.5% of the adult population, reported in one study that they have been diagnosed with COPD, yet the actual number is likely higher given that more than half of adults with low pulmonary function in another study reported that they were not aware that they had COPD.</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Treatments for COPD are similar to those for asthma and CRSwNP, including inhaled steroids to reduce inflammation in the airways as well as bronchodilator inhalers to relax airways and improve airflow. Oxygen and surgery may also be used for people with severe COPD. Dupilumab (marketed as Dupixent by Sanofi and Regeneron Pharmaceuticals, Inc. (“Regeneron”)), an interleukin (“IL”)-4 receptor alpha antagonist (“IL-4Ra”), and mepolizumab (marketed as Nucala by GlaxoSmithKline (“GSK”)), an IL-5 antagonist, are the only biologics approved for the treatment of COPD.</w:t>
      </w:r>
    </w:p>
    <w:p>
      <w:pPr>
        <w:spacing w:after="0" w:line="19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Despite available treatments, 60% of all COPD patients report some limitations in their daily activity, with 45% being unable to work and 75% complaining of difficulty climbing stairs. Given the high levels of morbidity and mortality associated with COPD, the currently available medicines are not sufficient to control symptoms or disease progression.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Verekitug: Inhibiting TSLP signaling in severe asthma, CRSwNP and COPD</w:t>
      </w:r>
    </w:p>
    <w:p>
      <w:pPr>
        <w:spacing w:after="0" w:line="1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Verekitug is a novel recombinant fully human immunoglobulin G1 (“IgG1”) monoclonal antibody that binds to the TSLP receptor and inhibits its signaling. In 2021, we acquired verekitug from Astellas Pharma Inc. (“Astellas”). Astellas discovered the compound and completed preclinical studies and a Phase 1 single ascending dose (“SAD”) trial, providing the early foundational work for our Phase 1b MAD trial. In those preclinical studies, which were not designed to support formal statistical comparisons, verekitug potently inhibited TSLP signaling. Additionally, verekitug inhibited cytokine production from CD4+ T cells, suggesting that it may be effective against type 2 and non-type 2 inflammation. In the Phase 1 SAD trial in healthy volunteers, verekitug demonstrated a favorable safety profile with no drug-related serious treatment-emergent adverse events, dose proportional pharmacokinetics and a pharmacodynamic effect consistent with TSLP antagonism.</w:t>
      </w:r>
    </w:p>
    <w:p>
      <w:pPr>
        <w:spacing w:after="0" w:line="20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have conducted four additional clinical trials of verekitug: a Phase 1b MAD trial in patients with asthma, a Japanese ethnobridging study in healthy volunteers, a Phase 2 trial in patients with CRSwNP, and a Phase 2 trial in patients with severe asthma. Across the five clinical trials, we have treated approximately 500 participants with verekitug. In these trials, verekitug was well tolerated and showed a predictable and consistent PK profile with high subcutaneous bioavailability. Immunogenicity in Phase 2 trials was consistent with previous experience, and meaningful differences in either safety or efficacy were not observed in patients with anti-drug antibodies as compared to those without.</w:t>
      </w:r>
    </w:p>
    <w:p>
      <w:pPr>
        <w:spacing w:after="0" w:line="20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Our Phase 1b MAD clinical trial established clinical proof-of-concept for verekitug in asthma. In the trial, which was not designed to support formal statistical comparisons, verekitug demonstrated rapid, substantial and sustained target engagement and maintained maximal inhibition of disease-related biomarkers in patients with asthma for up to 24 weeks after the last study dose. Results of the Phase 1b study also demonstrated that verekitug is a potent inhibitor of the TSLP receptor and has the potential for an extending dosing interval compared to currently available treatments. Importantly, the PK/pharmacodynamic (“PD”) modeling that was done based on the preclinical data aligned very closely with these early clinical results, strengthening our understanding of verekitug’s attributes and behavior in humans.</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conducted two separate multi-national, placebo-controlled, randomized Phase 2 clinical trials to investigate the efficacy of two extended dosing intervals of 12 and 24 weeks for patients with severe asthma and 12 weeks for patients with CRSwNP. These trials were designed using endpoints that, pending interactions with regulatory authorities, could allow data from these trials to support submissions for product approval. We announced data from the Phase 2 trial in CRSwNP in September 2025 and data from the Phase 2 trial in severe asthma in February 2026. We plan to initiate dosing in Phase 3 trials in both severe asthma and CRSwNP in the first quarter of 2027, prioritizing a Phase 3 development strategy that focuses on maximizing efficacy in both indications, without biomarker restriction, with quarterly at-home administration. Based on available data from Phase 1 clinical trials with verekitug, we initiated our Phase 2 clinical trial in COPD in July 2025. Beyond these indications, we believe verekitug has broad potential, and we intend to leverage its unique attributes to develop it as a potential therapy for other TSLP-driven diseases.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team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10420"/>
          </w:cols>
          <w:pgMar w:left="900" w:top="929" w:right="920" w:bottom="371" w:gutter="0" w:footer="0" w:header="0"/>
        </w:sectPr>
      </w:pPr>
    </w:p>
    <w:bookmarkStart w:id="11" w:name="page12"/>
    <w:bookmarkEnd w:id="11"/>
    <w:p>
      <w:pPr>
        <w:ind w:right="120"/>
        <w:spacing w:after="0" w:line="249" w:lineRule="auto"/>
        <w:rPr>
          <w:sz w:val="20"/>
          <w:szCs w:val="20"/>
          <w:color w:val="auto"/>
        </w:rPr>
      </w:pPr>
      <w:r>
        <w:rPr>
          <w:rFonts w:ascii="Times New Roman" w:cs="Times New Roman" w:eastAsia="Times New Roman" w:hAnsi="Times New Roman"/>
          <w:sz w:val="20"/>
          <w:szCs w:val="20"/>
          <w:color w:val="auto"/>
        </w:rPr>
        <w:t>We have built a team with deep experience and a strong track record of execution. Our leadership team, including our Chief Executive Officer E. Rand Sutherland, M.D., our Chief Medical Officer and Head of Research and Development Aaron Deykin, M.D., and our Chief Financial and Operating Officer Michael Paul Gray, M.B.A., and our board of directors have significant experience developing and commercializing innovative medicines, with deep expertise in severe asthma and other respiratory diseases.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3" w:lineRule="exact"/>
        <w:rPr>
          <w:sz w:val="20"/>
          <w:szCs w:val="20"/>
          <w:color w:val="auto"/>
        </w:rPr>
      </w:pPr>
    </w:p>
    <w:p>
      <w:pPr>
        <w:jc w:val="both"/>
        <w:ind w:right="300"/>
        <w:spacing w:after="0" w:line="259" w:lineRule="auto"/>
        <w:rPr>
          <w:sz w:val="20"/>
          <w:szCs w:val="20"/>
          <w:color w:val="auto"/>
        </w:rPr>
      </w:pPr>
      <w:r>
        <w:rPr>
          <w:rFonts w:ascii="Times New Roman" w:cs="Times New Roman" w:eastAsia="Times New Roman" w:hAnsi="Times New Roman"/>
          <w:sz w:val="20"/>
          <w:szCs w:val="20"/>
          <w:color w:val="auto"/>
        </w:rPr>
        <w:t>Our mission is to develop verekitug to be the first approved antagonist of the TSLP receptor to benefit patients suffering from severe inflammatory diseases that are underserved by today’s standard of care. The key components of our strategy to achieve this mission are:</w:t>
      </w:r>
    </w:p>
    <w:p>
      <w:pPr>
        <w:spacing w:after="0" w:line="76" w:lineRule="exact"/>
        <w:rPr>
          <w:sz w:val="20"/>
          <w:szCs w:val="20"/>
          <w:color w:val="auto"/>
        </w:rPr>
      </w:pPr>
    </w:p>
    <w:p>
      <w:pPr>
        <w:ind w:left="500" w:right="300" w:hanging="493"/>
        <w:spacing w:after="0" w:line="245" w:lineRule="auto"/>
        <w:tabs>
          <w:tab w:leader="none" w:pos="5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Leverage verekitug’s unique mechanism of action to improve the treatment options for millions of patients living with severe inflammatory diseases. </w:t>
      </w:r>
      <w:r>
        <w:rPr>
          <w:rFonts w:ascii="Times New Roman" w:cs="Times New Roman" w:eastAsia="Times New Roman" w:hAnsi="Times New Roman"/>
          <w:sz w:val="20"/>
          <w:szCs w:val="20"/>
          <w:color w:val="auto"/>
        </w:rPr>
        <w:t>Preclinical and early clinical data demonstrate that verekitug is a highly potent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inhibitor of the TSLP receptor. Verekitug is, to our knowledge, the only monoclonal antibody currently in clinical development that targets the TSLP receptor. We believe these characteristics will translate into a differentiated profile, including improved clinical outcomes, substantially extended dosing intervals, and the potential to treat for a broad spectrum of TSLP-driven inflammatory diseases.</w:t>
      </w:r>
    </w:p>
    <w:p>
      <w:pPr>
        <w:spacing w:after="0" w:line="90" w:lineRule="exact"/>
        <w:rPr>
          <w:rFonts w:ascii="Symbol" w:cs="Symbol" w:eastAsia="Symbol" w:hAnsi="Symbol"/>
          <w:sz w:val="20"/>
          <w:szCs w:val="20"/>
          <w:color w:val="auto"/>
        </w:rPr>
      </w:pPr>
    </w:p>
    <w:p>
      <w:pPr>
        <w:ind w:left="500" w:right="40" w:hanging="493"/>
        <w:spacing w:after="0" w:line="244" w:lineRule="auto"/>
        <w:tabs>
          <w:tab w:leader="none" w:pos="5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Advance verekitug in severe asthma, CRSwNP and COPD. </w:t>
      </w:r>
      <w:r>
        <w:rPr>
          <w:rFonts w:ascii="Times New Roman" w:cs="Times New Roman" w:eastAsia="Times New Roman" w:hAnsi="Times New Roman"/>
          <w:sz w:val="20"/>
          <w:szCs w:val="20"/>
          <w:color w:val="auto"/>
        </w:rPr>
        <w:t>We initiated a Phase 2 clinical trial to evaluate verekitug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treatment of COPD in July 2025, reported positive top-line results in our CRSwNP Phase 2 trial in September 2025, and reported positive top-line results in our severe asthma Phase 2 trial in February 2026. We designed our trials to leverage established biomarkers, clinical trial paradigms and validated regulatory pathways to rapidly generate data to further establish the unique therapeutic profile of verekitug. In addition, these trials were designed using endpoints that, pending interactions with regulatory authorities, could allow data from these trials to support submissions for product approval.</w:t>
      </w:r>
    </w:p>
    <w:p>
      <w:pPr>
        <w:spacing w:after="0" w:line="91" w:lineRule="exact"/>
        <w:rPr>
          <w:rFonts w:ascii="Symbol" w:cs="Symbol" w:eastAsia="Symbol" w:hAnsi="Symbol"/>
          <w:sz w:val="20"/>
          <w:szCs w:val="20"/>
          <w:color w:val="auto"/>
        </w:rPr>
      </w:pPr>
    </w:p>
    <w:p>
      <w:pPr>
        <w:ind w:left="500" w:hanging="493"/>
        <w:spacing w:after="0" w:line="246" w:lineRule="auto"/>
        <w:tabs>
          <w:tab w:leader="none" w:pos="500" w:val="left"/>
        </w:tabs>
        <w:numPr>
          <w:ilvl w:val="0"/>
          <w:numId w:val="9"/>
        </w:numPr>
        <w:rPr>
          <w:rFonts w:ascii="Symbol" w:cs="Symbol" w:eastAsia="Symbol" w:hAnsi="Symbol"/>
          <w:sz w:val="20"/>
          <w:szCs w:val="20"/>
          <w:color w:val="auto"/>
        </w:rPr>
      </w:pPr>
      <w:r>
        <w:rPr>
          <w:rFonts w:ascii="Times New Roman" w:cs="Times New Roman" w:eastAsia="Times New Roman" w:hAnsi="Times New Roman"/>
          <w:sz w:val="20"/>
          <w:szCs w:val="20"/>
          <w:b w:val="1"/>
          <w:bCs w:val="1"/>
          <w:color w:val="auto"/>
        </w:rPr>
        <w:t xml:space="preserve">Maximize the potential of verekitug by identifying additional TSLP-driven diseases with high unmet needs that could be addressed by our product candidate. </w:t>
      </w:r>
      <w:r>
        <w:rPr>
          <w:rFonts w:ascii="Times New Roman" w:cs="Times New Roman" w:eastAsia="Times New Roman" w:hAnsi="Times New Roman"/>
          <w:sz w:val="20"/>
          <w:szCs w:val="20"/>
          <w:color w:val="auto"/>
        </w:rPr>
        <w:t>The TSLP signaling pathway is well understood to be either a risk factor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or a key driver of inflammatory diseases across multiple therapeutic areas, including respiratory, dermatology, gastroenterology, nephrology and allergy/immunology. Thus, we believe there is a significant opportunity to expand the impact of verekitug beyond our initial indications of focus in respiratory disease.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TSLP</w:t>
      </w:r>
    </w:p>
    <w:p>
      <w:pPr>
        <w:spacing w:after="0" w:line="123"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TSLP is a member of a class of epithelial cytokines, also including IL-25 and IL-33, commonly referred to as alarmins. In response to various environmental triggers, including viruses, bacteria, allergens, chemical irritants and physical injury, TSLP is produced by the epithelium and can initiate and amplify a wide range of innate and adaptive immune responses including supporting epithelial barrier function, dendritic cell activation, type 2 innate lymphoid cell activation and survival, immune cell recruitment, induction of type 2 responses and regulation of B cell function. Beyond type 2 inflammation, data also support a role for TSLP in propagating non-type 2 inflammatory processes including IL-17 production, modulation of airway structural cells and the promotion of fibrosis. As such, TSLP signaling is a central instigator of multiple downstream biologic pathways relevant to human diseases that are characterized by epithelial inflammation, including asthma, CRSwNP and potentially COPD.</w:t>
      </w: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TSLP is primarily produced by epithelial cells, especially in the lung, gastrointestinal tract and skin. Dendritic cells, basophils, mast cells keratinocytes and fibroblasts also produce TSLP with appropriate stimulation. Relevant stimuli include mechanical injury, pro-inflammatory cytokines, allergen proteases and viral infections, among others. The breadth of TSLP effects suggests it is involved in tissue homeostasis and host defense and acts as an early alarm signal for the immune system. TSLP plays a critical role in many diseases, including asthma, allergic diseases and chronic inflammatory diseases.</w:t>
      </w:r>
    </w:p>
    <w:p>
      <w:pPr>
        <w:spacing w:after="0" w:line="19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In addition to type 2 mediators, TSLP has been shown to drive T helper (“Th”) 17 cell polarization of naive CD4 helper cells. As severe asthma phenotypes have been associated with increased Th17 cells and neutrophilic inflammation, in addition to eosinophilic inflammation, interruption of TSLP signaling has the potential to provide benefit to patients whose disease is driven by both type 2 and non-type 2 inflammatory processes. Tezepelumab, an approved antibody against TSLP without restriction to patients with only type 2 inflammation, has been shown to have clinical benefits in patients with severe asthma who do not have elevated type 2 biomarkers as with all other approved therapies.</w:t>
      </w:r>
    </w:p>
    <w:p>
      <w:pPr>
        <w:spacing w:after="0" w:line="200"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Beyond its role in inflammation, TSLP also acts on airway structural cells. Airway smooth muscle cells express TSLP receptor and when stimulated by TSLP, they increase production of IL-6 and IL-8. Bronchial fibroblasts also produce TSLP and express</w:t>
      </w: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10400"/>
          </w:cols>
          <w:pgMar w:left="900" w:top="929" w:right="940" w:bottom="371" w:gutter="0" w:footer="0" w:header="0"/>
        </w:sectPr>
      </w:pPr>
    </w:p>
    <w:bookmarkStart w:id="12" w:name="page13"/>
    <w:bookmarkEnd w:id="12"/>
    <w:p>
      <w:pPr>
        <w:ind w:right="140"/>
        <w:spacing w:after="0" w:line="259" w:lineRule="auto"/>
        <w:rPr>
          <w:sz w:val="20"/>
          <w:szCs w:val="20"/>
          <w:color w:val="auto"/>
        </w:rPr>
      </w:pPr>
      <w:r>
        <w:rPr>
          <w:rFonts w:ascii="Times New Roman" w:cs="Times New Roman" w:eastAsia="Times New Roman" w:hAnsi="Times New Roman"/>
          <w:sz w:val="20"/>
          <w:szCs w:val="20"/>
          <w:color w:val="auto"/>
        </w:rPr>
        <w:t>TSLP receptor. With TSLP receptor signaling, the bronchial fibroblasts produce collagen, a smooth muscle actin, arginase 1 and transforming growth factor b1. Taken together, this indicates that TSLP plays a pivotal role in promoting structural changes in asthmatic airways. A summary of the TSLP signaling pathway is illustrated in Figure 1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153670</wp:posOffset>
            </wp:positionV>
            <wp:extent cx="5711190" cy="3208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extLst>
                    </a:blip>
                    <a:srcRect/>
                    <a:stretch>
                      <a:fillRect/>
                    </a:stretch>
                  </pic:blipFill>
                  <pic:spPr bwMode="auto">
                    <a:xfrm>
                      <a:off x="0" y="0"/>
                      <a:ext cx="5711190" cy="320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1: TSLP signaling pathway</w:t>
      </w:r>
    </w:p>
    <w:p>
      <w:pPr>
        <w:spacing w:after="0" w:line="23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TSLP initiates intracellular signaling through the binding of its TSLP receptor and the recruitment of the IL-7 receptor alpha-chain (“IL-7Ra”). TSLP receptor is expressed on many different cell types, including dendritic cells, T and B cells, natural killer T cells, eosinophils, basophils and epithelial cells. Once activated, the TSLP receptor complex then activates a signaling cascade that results in the production of type 2 pro-inflammatory cytokines, including IL-5, IL-9, IL-4 and IL-13. IL-5 is a key cytokine in eosinophilic inflammation. IL-9 is important in allergic inflammation, while IL-4 and IL-13 are both critical to type 2 inflammation.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role of TSLP in severe asthma, CRSwNP, COPD and related inflammatory diseases</w:t>
      </w:r>
    </w:p>
    <w:p>
      <w:pPr>
        <w:spacing w:after="0" w:line="12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Airway biopsies of people with asthma have shown overexpression of TSLP and type 2 cytokines, particularly in those with severe disease. Type 2 cytokines have enhanced release in the presence of TSLP and therefore are an additional indicator of TSLP expression. Blocking TSLP is expected to reduce type 2 cytokine production by Th2 memory cells, innate lymphoid type 2 cells and mast cells, all of which are involved in inflammation. Additionally, several single nucleotide polymorphisms at the TSLP genomic locus were associated with increased asthma susceptibility or protection.</w:t>
      </w:r>
    </w:p>
    <w:p>
      <w:pPr>
        <w:spacing w:after="0" w:line="19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TSLP may also play a role in the efficacy of corticosteroid treatments for people with asthma. In an animal model, the absence of TSLP signaling results in a significant increase in the anti-inflammatory effects of corticosteroids. These results appear to be relevant for people with asthma as well given that TSLP concentration in the bronchoalveolar lavage (“BAL”) fluid from people with severe asthma were inversely correlated with corticosteroid-mediated inhibition of IL-5 production.</w:t>
      </w:r>
    </w:p>
    <w:p>
      <w:pPr>
        <w:spacing w:after="0" w:line="194"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therapeutic potential of inhibiting TSLP in people with asthma is supported by significant clinical data, including a Phase 3 trial of tezepelumab in adults and adolescents with severe, uncontrolled asthma. Tezepelumab is a fully human monoclonal antibody that binds to the TSLP ligand and prevents its interaction with the TSLP receptor. The study met its primary endpoint of reduction in rate of asthma exacerbations, including for those participants with low blood eos at baseline. The study also met several secondary endpoints showing improvements across multiple measures of disease, including lung function, asthma control and health-related quality of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10440"/>
          </w:cols>
          <w:pgMar w:left="900" w:top="929" w:right="900" w:bottom="371" w:gutter="0" w:footer="0" w:header="0"/>
        </w:sectPr>
      </w:pPr>
    </w:p>
    <w:bookmarkStart w:id="13" w:name="page14"/>
    <w:bookmarkEnd w:id="13"/>
    <w:p>
      <w:pPr>
        <w:spacing w:after="0" w:line="245" w:lineRule="auto"/>
        <w:rPr>
          <w:sz w:val="20"/>
          <w:szCs w:val="20"/>
          <w:color w:val="auto"/>
        </w:rPr>
      </w:pPr>
      <w:r>
        <w:rPr>
          <w:rFonts w:ascii="Times New Roman" w:cs="Times New Roman" w:eastAsia="Times New Roman" w:hAnsi="Times New Roman"/>
          <w:sz w:val="20"/>
          <w:szCs w:val="20"/>
          <w:color w:val="auto"/>
        </w:rPr>
        <w:t>TSLP has been implicated in many diseases beyond asthma as well, as shown in Figure 2 below. While the cause of CRSwNP is not fully understood, the role played by the immune system in the condition has been well studied. CRSwNP is predominantly a type 2 inflammatory response with elevated levels of TSLP. Lung epithelium and submucosa samples from people with COPD also contained a greater number of TSLP mRNA-positive cells and BAL samples from these patients had higher concentration of TSLP compared to healthy samples. TSLP has also been indicated as a driver of atopic dermatitis (“AD”), a chronic inflammatory disease of the skin. TSLP was found to be highly expressed in acute and chronic AD lesions but was undetectable in nonlesional skin. Figure 2 below shows many of the diseases in which TSLP has been implicated, including the three indications we are targeting, severe asthma, CRSwNP and COPD.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163830</wp:posOffset>
            </wp:positionV>
            <wp:extent cx="5773420" cy="2689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extLst>
                    </a:blip>
                    <a:srcRect/>
                    <a:stretch>
                      <a:fillRect/>
                    </a:stretch>
                  </pic:blipFill>
                  <pic:spPr bwMode="auto">
                    <a:xfrm>
                      <a:off x="0" y="0"/>
                      <a:ext cx="5773420" cy="2689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Target indications for verekitug based on our current development strategy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2: Selected diseases in which TSLP has been shown to play a role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severe asthma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Disease overview</w:t>
      </w:r>
    </w:p>
    <w:p>
      <w:pPr>
        <w:spacing w:after="0" w:line="120"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Asthma is a common disease of the lungs characterized by chronic airway inflammation that is often underdiagnosed and under-treated. With the narrowing of the bronchioles, people with asthma can experience edema or swelling due to fluid accumulation, hyperresponsiveness of the airway resulting in muscle contraction and excess mucus production. People living with asthma experience respiratory symptoms, such as wheeze, shortness of breath, chest tightness and cough, that vary over time and in intensity and also experience airflow limitations mostly with expiration. Asthma attacks can be triggered by infections or environmental irritants.</w:t>
      </w:r>
    </w:p>
    <w:p>
      <w:pPr>
        <w:spacing w:after="0" w:line="20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Approximately 350 million people live with asthma around the world, including more than 25 million Americans. For some people, asthma can simply be a nuisance, for others it can interfere with daily life and potentially even be life-threatening. Of the more than 25 million Americans living with asthma, it is estimated that 5% to 10% suffer from severe asthma. Severe asthma is defined as someone diagnosed with asthma who requires high-dose inhaled corticosteroids in order to control symptoms. Asthma is also considered severe when it is uncontrolled despite proper use of these medications. Individuals who suffer from severe uncontrolled asthma may experience symptoms throughout most days and every night. Their symptoms are also more intense and last for longer periods than with regular asthma. Severe asthma attacks can result in confusion or agitation, being unable to speak in full sentences, a bluish tint to the lips, face or fingernails, rapid breathing and having symptoms that don’t improve after using a rescue inhaler. These attacks can last from hours to days, compared to mild asthma attacks which typically last only a few minutes. In rare instances, severe asthma attacks can result in death.</w:t>
      </w:r>
    </w:p>
    <w:p>
      <w:pPr>
        <w:spacing w:after="0" w:line="20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There are two main categories of severe asthma, type-2 inflammation and non-type-2 inflammation. Both types of asthma are assessed using eos and FeNO as common biomarkers. Type 2 inflammation refers to a specific type of immune response pattern where Th cells release cytokines such as IL-4, IL-5, IL-9 and IL-13 and also promote the formation of anti-immunoglobin E (“IgE”) antibodies. Additionally, certain immune cells, specifically mast cells, basophils and eosinophils, become activated.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10440"/>
          </w:cols>
          <w:pgMar w:left="900" w:top="929" w:right="900" w:bottom="371" w:gutter="0" w:footer="0" w:header="0"/>
        </w:sectPr>
      </w:pPr>
    </w:p>
    <w:bookmarkStart w:id="14" w:name="page15"/>
    <w:bookmarkEnd w:id="14"/>
    <w:p>
      <w:pPr>
        <w:ind w:right="60"/>
        <w:spacing w:after="0" w:line="246" w:lineRule="auto"/>
        <w:rPr>
          <w:sz w:val="20"/>
          <w:szCs w:val="20"/>
          <w:color w:val="auto"/>
        </w:rPr>
      </w:pPr>
      <w:r>
        <w:rPr>
          <w:rFonts w:ascii="Times New Roman" w:cs="Times New Roman" w:eastAsia="Times New Roman" w:hAnsi="Times New Roman"/>
          <w:sz w:val="20"/>
          <w:szCs w:val="20"/>
          <w:color w:val="auto"/>
        </w:rPr>
        <w:t>Collectively, these cells help to secrete mucus, promote swelling and contract smooth muscle cells, all of which are symptoms of asthma. A high eosinophil blood count is characteristic of type 2 inflammation and an important measure as eosinophils play a vital role in sustaining and enhancing chronic inflammatory asthmatic response. Elevated FeNO levels act as another important measure, as IL-13, mainly secreted by eosinophils, activates the expression of inducible nitric oxide synthase and increases the production of nitric oxide. It is estimated that 55% to 70% of people with severe asthma have type 2 inflammation as a major contributing cause. Understanding of the type 2 inflammation pathway has allowed for the development of targeted therapies for the treatment.</w:t>
      </w:r>
    </w:p>
    <w:p>
      <w:pPr>
        <w:spacing w:after="0" w:line="20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Non-type 2 inflammation asthma is assessed by a lower blood eosinophil count and lower exhaled nitric oxide. It is characterized by Th1 and/or Th17-cell mediated inflammation rather than the Th2-cell mediated inflammation seen in type 2 inflammation. People with non-type 2 asthma typically have poor steroid response and have historically not been candidates for biologic treatments. Recently tezepelumab was approved by the FDA for people with severe asthma irrespective of their blood eosinophil count given the results of the Phase 3 trial showed improvement in asthma symptoms for both type 2 and non-type 2 patient populations.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current asthma treatments</w:t>
      </w:r>
    </w:p>
    <w:p>
      <w:pPr>
        <w:spacing w:after="0" w:line="1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auto"/>
        </w:rPr>
        <w:t>Asthma cannot be cured, but for many people it can be controlled. The long-term goals of asthma management from a clinical perspective are to achieve good control of symptoms to allow for normal daily activities and to minimize the risk of asthma-related deaths, exacerbations, persistent airflow limitations and side effects.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standard of care for asthma includes three main categories of treatment:</w:t>
      </w:r>
    </w:p>
    <w:p>
      <w:pPr>
        <w:spacing w:after="0" w:line="135" w:lineRule="exact"/>
        <w:rPr>
          <w:sz w:val="20"/>
          <w:szCs w:val="20"/>
          <w:color w:val="auto"/>
        </w:rPr>
      </w:pPr>
    </w:p>
    <w:p>
      <w:pPr>
        <w:ind w:left="500" w:right="280" w:hanging="493"/>
        <w:spacing w:after="0" w:line="245" w:lineRule="auto"/>
        <w:tabs>
          <w:tab w:leader="none" w:pos="5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Controller medications, which contain inhaled corticosteroids (“ICS”), are used to reduce airway inflammation, control symptoms and reduce future risks of exacerbations and related decline in lung function. Patients with mild asthma can typically control symptoms as they occur with low-dose ICS. Patients with severe asthma require high doses of ICS and may not be able to control their symptoms even with proper use of inhaler. Importantly, people with non-type 2 inflammation asthma are not responsive to steroid treatment.</w:t>
      </w:r>
    </w:p>
    <w:p>
      <w:pPr>
        <w:spacing w:after="0" w:line="94" w:lineRule="exact"/>
        <w:rPr>
          <w:rFonts w:ascii="Symbol" w:cs="Symbol" w:eastAsia="Symbol" w:hAnsi="Symbol"/>
          <w:sz w:val="20"/>
          <w:szCs w:val="20"/>
          <w:color w:val="auto"/>
        </w:rPr>
      </w:pPr>
    </w:p>
    <w:p>
      <w:pPr>
        <w:ind w:left="500" w:hanging="493"/>
        <w:spacing w:after="0" w:line="247" w:lineRule="auto"/>
        <w:tabs>
          <w:tab w:leader="none" w:pos="5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Reliever medications are provided to all patients for as-needed relief of breakthrough symptoms. These treatments could be ICS-formoterol, ICS-long-acting beta-agonist (“LABA”) or as-needed short-acting beta2 agonist (“SABA”). Over-use of SABA can lead to an increased risk of asthma exacerbations and therefore reducing the need for reliever medications is an important goal in asthma treatment.</w:t>
      </w:r>
    </w:p>
    <w:p>
      <w:pPr>
        <w:spacing w:after="0" w:line="92" w:lineRule="exact"/>
        <w:rPr>
          <w:rFonts w:ascii="Symbol" w:cs="Symbol" w:eastAsia="Symbol" w:hAnsi="Symbol"/>
          <w:sz w:val="20"/>
          <w:szCs w:val="20"/>
          <w:color w:val="auto"/>
        </w:rPr>
      </w:pPr>
    </w:p>
    <w:p>
      <w:pPr>
        <w:ind w:left="500" w:hanging="493"/>
        <w:spacing w:after="0" w:line="244" w:lineRule="auto"/>
        <w:tabs>
          <w:tab w:leader="none" w:pos="500" w:val="left"/>
        </w:tabs>
        <w:numPr>
          <w:ilvl w:val="0"/>
          <w:numId w:val="10"/>
        </w:numPr>
        <w:rPr>
          <w:rFonts w:ascii="Symbol" w:cs="Symbol" w:eastAsia="Symbol" w:hAnsi="Symbol"/>
          <w:sz w:val="20"/>
          <w:szCs w:val="20"/>
          <w:color w:val="auto"/>
        </w:rPr>
      </w:pPr>
      <w:r>
        <w:rPr>
          <w:rFonts w:ascii="Times New Roman" w:cs="Times New Roman" w:eastAsia="Times New Roman" w:hAnsi="Times New Roman"/>
          <w:sz w:val="20"/>
          <w:szCs w:val="20"/>
          <w:color w:val="auto"/>
        </w:rPr>
        <w:t>Biologic therapies for patients with severe asthma whose persistent symptoms and exacerbations are not controlled with high dose controller medications. Add on therapies include biologics such as IgE, anti-IL-4, anti-IL5, anti-IL-13 and anti-TSLP; bronchodilators, such as long-acting muscarinic antagonists (“LAMA”); antibiotics, such as azithromycin; bronchial thermoplasty; and low dose oral corticosteroids. Similar to ICS, people with non-type 2 inflammation asthma do not respond well to most biologic therapies, with the exception of the only currently approved TSLP signaling inhibitor, tezepelumab.</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Biologic therapies for severe asthma</w:t>
      </w:r>
    </w:p>
    <w:p>
      <w:pPr>
        <w:spacing w:after="0" w:line="119"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In the past few years, several new biologics have been approved by the FDA for the treatment of severe asthma. Most of these therapies work by targeting specific cells or proteins in the body involved in the type 2 inflammatory response triggered with asthma, including eosinophils, IgE and several ILs or their receptors. In clinical trials, biologics have shown to reduce airway hyperactivity and the number of asthma attacks. They may allow for the reduction or even discontinuation of long-term oral steroid use.</w:t>
      </w:r>
    </w:p>
    <w:p>
      <w:pPr>
        <w:spacing w:after="0" w:line="198" w:lineRule="exact"/>
        <w:rPr>
          <w:sz w:val="20"/>
          <w:szCs w:val="20"/>
          <w:color w:val="auto"/>
        </w:rPr>
      </w:pPr>
    </w:p>
    <w:p>
      <w:pPr>
        <w:ind w:right="300"/>
        <w:spacing w:after="0" w:line="277" w:lineRule="auto"/>
        <w:rPr>
          <w:sz w:val="20"/>
          <w:szCs w:val="20"/>
          <w:color w:val="auto"/>
        </w:rPr>
      </w:pPr>
      <w:r>
        <w:rPr>
          <w:rFonts w:ascii="Times New Roman" w:cs="Times New Roman" w:eastAsia="Times New Roman" w:hAnsi="Times New Roman"/>
          <w:sz w:val="20"/>
          <w:szCs w:val="20"/>
          <w:color w:val="auto"/>
        </w:rPr>
        <w:t>Biologics are administered either subcutaneously or intravenously on a bi-weekly, monthly, bi-monthly, or bi-annual basis, depending on the specific product. Table 1 below identifies FDA-approved biologic treatments for asthma and each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10380"/>
          </w:cols>
          <w:pgMar w:left="900" w:top="929" w:right="960" w:bottom="371" w:gutter="0" w:footer="0" w:header="0"/>
        </w:sectPr>
      </w:pPr>
    </w:p>
    <w:bookmarkStart w:id="15" w:name="page16"/>
    <w:bookmarkEnd w:id="15"/>
    <w:p>
      <w:pPr>
        <w:ind w:right="220"/>
        <w:spacing w:after="0" w:line="278" w:lineRule="auto"/>
        <w:rPr>
          <w:sz w:val="20"/>
          <w:szCs w:val="20"/>
          <w:color w:val="auto"/>
        </w:rPr>
      </w:pPr>
      <w:r>
        <w:rPr>
          <w:rFonts w:ascii="Times New Roman" w:cs="Times New Roman" w:eastAsia="Times New Roman" w:hAnsi="Times New Roman"/>
          <w:sz w:val="20"/>
          <w:szCs w:val="20"/>
          <w:color w:val="auto"/>
        </w:rPr>
        <w:t>mechanism of action, specific asthma indication and dosing interval. Despite the efficacy shown in clinical trials, it is estimated that less than 25% of people with severe asthma receive biologic treatment.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156210</wp:posOffset>
                </wp:positionV>
                <wp:extent cx="12700" cy="2857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00" cy="28575"/>
                        </a:xfrm>
                        <a:prstGeom prst="rect">
                          <a:avLst/>
                        </a:prstGeom>
                        <a:solidFill>
                          <a:srgbClr val="000000"/>
                        </a:solidFill>
                      </wps:spPr>
                      <wps:bodyPr/>
                    </wps:wsp>
                  </a:graphicData>
                </a:graphic>
              </wp:anchor>
            </w:drawing>
          </mc:Choice>
          <mc:Fallback>
            <w:pict>
              <v:rect id="Shape 16" o:spid="_x0000_s1041" style="position:absolute;margin-left:-0.1499pt;margin-top:12.3pt;width:1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mc:AlternateContent>
          <mc:Choice Requires="wps">
            <w:drawing>
              <wp:anchor simplePos="0" relativeHeight="251657728" behindDoc="1" locked="0" layoutInCell="0" allowOverlap="1">
                <wp:simplePos x="0" y="0"/>
                <wp:positionH relativeFrom="column">
                  <wp:posOffset>6617970</wp:posOffset>
                </wp:positionH>
                <wp:positionV relativeFrom="paragraph">
                  <wp:posOffset>156210</wp:posOffset>
                </wp:positionV>
                <wp:extent cx="13335" cy="285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35" cy="28575"/>
                        </a:xfrm>
                        <a:prstGeom prst="rect">
                          <a:avLst/>
                        </a:prstGeom>
                        <a:solidFill>
                          <a:srgbClr val="000000"/>
                        </a:solidFill>
                      </wps:spPr>
                      <wps:bodyPr/>
                    </wps:wsp>
                  </a:graphicData>
                </a:graphic>
              </wp:anchor>
            </w:drawing>
          </mc:Choice>
          <mc:Fallback>
            <w:pict>
              <v:rect id="Shape 17" o:spid="_x0000_s1042" style="position:absolute;margin-left:521.1pt;margin-top:12.3pt;width:1.05pt;height: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000000" stroked="f"/>
            </w:pict>
          </mc:Fallback>
        </mc:AlternateConten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86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FDA approved biologic</w:t>
            </w:r>
          </w:p>
        </w:tc>
        <w:tc>
          <w:tcPr>
            <w:tcW w:w="30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Mechanism of action</w:t>
            </w:r>
          </w:p>
        </w:tc>
        <w:tc>
          <w:tcPr>
            <w:tcW w:w="306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Type of asthma</w:t>
            </w:r>
          </w:p>
        </w:tc>
        <w:tc>
          <w:tcPr>
            <w:tcW w:w="14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Dosing interval</w:t>
            </w:r>
          </w:p>
        </w:tc>
        <w:tc>
          <w:tcPr>
            <w:tcW w:w="0" w:type="dxa"/>
            <w:vAlign w:val="bottom"/>
          </w:tcPr>
          <w:p>
            <w:pPr>
              <w:spacing w:after="0"/>
              <w:rPr>
                <w:sz w:val="1"/>
                <w:szCs w:val="1"/>
                <w:color w:val="auto"/>
              </w:rPr>
            </w:pPr>
          </w:p>
        </w:tc>
      </w:tr>
      <w:tr>
        <w:trPr>
          <w:trHeight w:val="228"/>
        </w:trPr>
        <w:tc>
          <w:tcPr>
            <w:tcW w:w="286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treatments</w:t>
            </w:r>
          </w:p>
        </w:tc>
        <w:tc>
          <w:tcPr>
            <w:tcW w:w="30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860" w:type="dxa"/>
            <w:vAlign w:val="bottom"/>
            <w:tcBorders>
              <w:left w:val="single" w:sz="8" w:color="auto"/>
              <w:right w:val="single" w:sz="8" w:color="auto"/>
            </w:tcBorders>
          </w:tcPr>
          <w:p>
            <w:pPr>
              <w:ind w:left="160"/>
              <w:spacing w:after="0" w:line="206" w:lineRule="exact"/>
              <w:rPr>
                <w:sz w:val="20"/>
                <w:szCs w:val="20"/>
                <w:color w:val="auto"/>
              </w:rPr>
            </w:pPr>
            <w:r>
              <w:rPr>
                <w:rFonts w:ascii="Times New Roman" w:cs="Times New Roman" w:eastAsia="Times New Roman" w:hAnsi="Times New Roman"/>
                <w:sz w:val="20"/>
                <w:szCs w:val="20"/>
                <w:color w:val="auto"/>
              </w:rPr>
              <w:t>Omalizumab / Xolair</w:t>
            </w:r>
          </w:p>
        </w:tc>
        <w:tc>
          <w:tcPr>
            <w:tcW w:w="3060" w:type="dxa"/>
            <w:vAlign w:val="bottom"/>
            <w:tcBorders>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20"/>
                <w:szCs w:val="20"/>
                <w:color w:val="auto"/>
              </w:rPr>
              <w:t>Anti-IgE</w:t>
            </w:r>
          </w:p>
        </w:tc>
        <w:tc>
          <w:tcPr>
            <w:tcW w:w="3060" w:type="dxa"/>
            <w:vAlign w:val="bottom"/>
            <w:tcBorders>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20"/>
                <w:szCs w:val="20"/>
                <w:color w:val="auto"/>
              </w:rPr>
              <w:t>Moderate to severe persistent</w:t>
            </w:r>
          </w:p>
        </w:tc>
        <w:tc>
          <w:tcPr>
            <w:tcW w:w="1460" w:type="dxa"/>
            <w:vAlign w:val="bottom"/>
            <w:tcBorders>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20"/>
                <w:szCs w:val="20"/>
                <w:color w:val="auto"/>
              </w:rPr>
              <w:t>2 or 4 weeks</w:t>
            </w:r>
          </w:p>
        </w:tc>
        <w:tc>
          <w:tcPr>
            <w:tcW w:w="0" w:type="dxa"/>
            <w:vAlign w:val="bottom"/>
          </w:tcPr>
          <w:p>
            <w:pPr>
              <w:spacing w:after="0"/>
              <w:rPr>
                <w:sz w:val="1"/>
                <w:szCs w:val="1"/>
                <w:color w:val="auto"/>
              </w:rPr>
            </w:pPr>
          </w:p>
        </w:tc>
      </w:tr>
      <w:tr>
        <w:trPr>
          <w:trHeight w:val="250"/>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allergic asthma</w:t>
            </w: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860" w:type="dxa"/>
            <w:vAlign w:val="bottom"/>
            <w:tcBorders>
              <w:left w:val="single" w:sz="8" w:color="auto"/>
              <w:right w:val="single" w:sz="8" w:color="auto"/>
            </w:tcBorders>
          </w:tcPr>
          <w:p>
            <w:pPr>
              <w:ind w:left="160"/>
              <w:spacing w:after="0" w:line="206" w:lineRule="exact"/>
              <w:rPr>
                <w:sz w:val="20"/>
                <w:szCs w:val="20"/>
                <w:color w:val="auto"/>
              </w:rPr>
            </w:pPr>
            <w:r>
              <w:rPr>
                <w:rFonts w:ascii="Times New Roman" w:cs="Times New Roman" w:eastAsia="Times New Roman" w:hAnsi="Times New Roman"/>
                <w:sz w:val="20"/>
                <w:szCs w:val="20"/>
                <w:color w:val="auto"/>
              </w:rPr>
              <w:t>Dupilumab / Dupixent</w:t>
            </w:r>
          </w:p>
        </w:tc>
        <w:tc>
          <w:tcPr>
            <w:tcW w:w="3060" w:type="dxa"/>
            <w:vAlign w:val="bottom"/>
            <w:tcBorders>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20"/>
                <w:szCs w:val="20"/>
                <w:color w:val="auto"/>
              </w:rPr>
              <w:t>Blocks IL-4 and IL-13</w:t>
            </w:r>
          </w:p>
        </w:tc>
        <w:tc>
          <w:tcPr>
            <w:tcW w:w="3060" w:type="dxa"/>
            <w:vAlign w:val="bottom"/>
            <w:tcBorders>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20"/>
                <w:szCs w:val="20"/>
                <w:color w:val="auto"/>
              </w:rPr>
              <w:t>Moderate to severe eosinophilic</w:t>
            </w:r>
          </w:p>
        </w:tc>
        <w:tc>
          <w:tcPr>
            <w:tcW w:w="1460" w:type="dxa"/>
            <w:vAlign w:val="bottom"/>
            <w:tcBorders>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20"/>
                <w:szCs w:val="20"/>
                <w:color w:val="auto"/>
              </w:rPr>
              <w:t>2 weeks</w:t>
            </w:r>
          </w:p>
        </w:tc>
        <w:tc>
          <w:tcPr>
            <w:tcW w:w="0" w:type="dxa"/>
            <w:vAlign w:val="bottom"/>
          </w:tcPr>
          <w:p>
            <w:pPr>
              <w:spacing w:after="0"/>
              <w:rPr>
                <w:sz w:val="1"/>
                <w:szCs w:val="1"/>
                <w:color w:val="auto"/>
              </w:rPr>
            </w:pPr>
          </w:p>
        </w:tc>
      </w:tr>
      <w:tr>
        <w:trPr>
          <w:trHeight w:val="250"/>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asthma</w:t>
            </w: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860" w:type="dxa"/>
            <w:vAlign w:val="bottom"/>
            <w:tcBorders>
              <w:left w:val="single" w:sz="8" w:color="auto"/>
              <w:bottom w:val="single" w:sz="8" w:color="auto"/>
              <w:right w:val="single" w:sz="8" w:color="auto"/>
            </w:tcBorders>
          </w:tcPr>
          <w:p>
            <w:pPr>
              <w:ind w:left="160"/>
              <w:spacing w:after="0" w:line="225" w:lineRule="exact"/>
              <w:rPr>
                <w:sz w:val="20"/>
                <w:szCs w:val="20"/>
                <w:color w:val="auto"/>
              </w:rPr>
            </w:pPr>
            <w:r>
              <w:rPr>
                <w:rFonts w:ascii="Times New Roman" w:cs="Times New Roman" w:eastAsia="Times New Roman" w:hAnsi="Times New Roman"/>
                <w:sz w:val="20"/>
                <w:szCs w:val="20"/>
                <w:color w:val="auto"/>
              </w:rPr>
              <w:t>Mepolizumab / Nucala</w:t>
            </w:r>
          </w:p>
        </w:tc>
        <w:tc>
          <w:tcPr>
            <w:tcW w:w="3060" w:type="dxa"/>
            <w:vAlign w:val="bottom"/>
            <w:tcBorders>
              <w:right w:val="single" w:sz="8" w:color="auto"/>
            </w:tcBorders>
          </w:tcPr>
          <w:p>
            <w:pPr>
              <w:spacing w:after="0"/>
              <w:rPr>
                <w:sz w:val="19"/>
                <w:szCs w:val="19"/>
                <w:color w:val="auto"/>
              </w:rPr>
            </w:pPr>
          </w:p>
        </w:tc>
        <w:tc>
          <w:tcPr>
            <w:tcW w:w="3060" w:type="dxa"/>
            <w:vAlign w:val="bottom"/>
            <w:tcBorders>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0"/>
                <w:szCs w:val="20"/>
                <w:color w:val="auto"/>
              </w:rPr>
              <w:t>4 weeks</w:t>
            </w:r>
          </w:p>
        </w:tc>
        <w:tc>
          <w:tcPr>
            <w:tcW w:w="0" w:type="dxa"/>
            <w:vAlign w:val="bottom"/>
          </w:tcPr>
          <w:p>
            <w:pPr>
              <w:spacing w:after="0"/>
              <w:rPr>
                <w:sz w:val="1"/>
                <w:szCs w:val="1"/>
                <w:color w:val="auto"/>
              </w:rPr>
            </w:pPr>
          </w:p>
        </w:tc>
      </w:tr>
      <w:tr>
        <w:trPr>
          <w:trHeight w:val="225"/>
        </w:trPr>
        <w:tc>
          <w:tcPr>
            <w:tcW w:w="2860" w:type="dxa"/>
            <w:vAlign w:val="bottom"/>
            <w:tcBorders>
              <w:left w:val="single" w:sz="8" w:color="auto"/>
              <w:bottom w:val="single" w:sz="8" w:color="auto"/>
              <w:right w:val="single" w:sz="8" w:color="auto"/>
            </w:tcBorders>
          </w:tcPr>
          <w:p>
            <w:pPr>
              <w:ind w:left="160"/>
              <w:spacing w:after="0" w:line="225" w:lineRule="exact"/>
              <w:rPr>
                <w:sz w:val="20"/>
                <w:szCs w:val="20"/>
                <w:color w:val="auto"/>
              </w:rPr>
            </w:pPr>
            <w:r>
              <w:rPr>
                <w:rFonts w:ascii="Times New Roman" w:cs="Times New Roman" w:eastAsia="Times New Roman" w:hAnsi="Times New Roman"/>
                <w:sz w:val="20"/>
                <w:szCs w:val="20"/>
                <w:color w:val="auto"/>
              </w:rPr>
              <w:t>Reslizumab / Cinqair</w:t>
            </w:r>
          </w:p>
        </w:tc>
        <w:tc>
          <w:tcPr>
            <w:tcW w:w="30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Blocks IL-5</w:t>
            </w:r>
          </w:p>
        </w:tc>
        <w:tc>
          <w:tcPr>
            <w:tcW w:w="306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20"/>
                <w:szCs w:val="20"/>
                <w:color w:val="auto"/>
              </w:rPr>
              <w:t>Severe eosinophilic asthma</w:t>
            </w:r>
          </w:p>
        </w:tc>
        <w:tc>
          <w:tcPr>
            <w:tcW w:w="1460" w:type="dxa"/>
            <w:vAlign w:val="bottom"/>
            <w:tcBorders>
              <w:bottom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0"/>
                <w:szCs w:val="20"/>
                <w:color w:val="auto"/>
              </w:rPr>
              <w:t>4 weeks (IV)</w:t>
            </w:r>
          </w:p>
        </w:tc>
        <w:tc>
          <w:tcPr>
            <w:tcW w:w="0" w:type="dxa"/>
            <w:vAlign w:val="bottom"/>
          </w:tcPr>
          <w:p>
            <w:pPr>
              <w:spacing w:after="0"/>
              <w:rPr>
                <w:sz w:val="1"/>
                <w:szCs w:val="1"/>
                <w:color w:val="auto"/>
              </w:rPr>
            </w:pPr>
          </w:p>
        </w:tc>
      </w:tr>
      <w:tr>
        <w:trPr>
          <w:trHeight w:val="119"/>
        </w:trPr>
        <w:tc>
          <w:tcPr>
            <w:tcW w:w="2860" w:type="dxa"/>
            <w:vAlign w:val="bottom"/>
            <w:tcBorders>
              <w:left w:val="single" w:sz="8" w:color="auto"/>
              <w:right w:val="single" w:sz="8" w:color="auto"/>
            </w:tcBorders>
            <w:vMerge w:val="restart"/>
          </w:tcPr>
          <w:p>
            <w:pPr>
              <w:ind w:left="160"/>
              <w:spacing w:after="0" w:line="225" w:lineRule="exact"/>
              <w:rPr>
                <w:sz w:val="20"/>
                <w:szCs w:val="20"/>
                <w:color w:val="auto"/>
              </w:rPr>
            </w:pPr>
            <w:r>
              <w:rPr>
                <w:rFonts w:ascii="Times New Roman" w:cs="Times New Roman" w:eastAsia="Times New Roman" w:hAnsi="Times New Roman"/>
                <w:sz w:val="20"/>
                <w:szCs w:val="20"/>
                <w:color w:val="auto"/>
              </w:rPr>
              <w:t>Benralizumab / Fasenra</w:t>
            </w:r>
          </w:p>
        </w:tc>
        <w:tc>
          <w:tcPr>
            <w:tcW w:w="3060" w:type="dxa"/>
            <w:vAlign w:val="bottom"/>
            <w:tcBorders>
              <w:right w:val="single" w:sz="8" w:color="auto"/>
            </w:tcBorders>
            <w:vMerge w:val="continue"/>
          </w:tcPr>
          <w:p>
            <w:pPr>
              <w:spacing w:after="0"/>
              <w:rPr>
                <w:sz w:val="10"/>
                <w:szCs w:val="10"/>
                <w:color w:val="auto"/>
              </w:rPr>
            </w:pPr>
          </w:p>
        </w:tc>
        <w:tc>
          <w:tcPr>
            <w:tcW w:w="306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ind w:left="80"/>
              <w:spacing w:after="0" w:line="225" w:lineRule="exact"/>
              <w:rPr>
                <w:sz w:val="20"/>
                <w:szCs w:val="20"/>
                <w:color w:val="auto"/>
              </w:rPr>
            </w:pPr>
            <w:r>
              <w:rPr>
                <w:rFonts w:ascii="Times New Roman" w:cs="Times New Roman" w:eastAsia="Times New Roman" w:hAnsi="Times New Roman"/>
                <w:sz w:val="20"/>
                <w:szCs w:val="20"/>
                <w:color w:val="auto"/>
              </w:rPr>
              <w:t>8 weeks</w:t>
            </w:r>
          </w:p>
        </w:tc>
        <w:tc>
          <w:tcPr>
            <w:tcW w:w="0" w:type="dxa"/>
            <w:vAlign w:val="bottom"/>
          </w:tcPr>
          <w:p>
            <w:pPr>
              <w:spacing w:after="0"/>
              <w:rPr>
                <w:sz w:val="1"/>
                <w:szCs w:val="1"/>
                <w:color w:val="auto"/>
              </w:rPr>
            </w:pPr>
          </w:p>
        </w:tc>
      </w:tr>
      <w:tr>
        <w:trPr>
          <w:trHeight w:val="111"/>
        </w:trPr>
        <w:tc>
          <w:tcPr>
            <w:tcW w:w="28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060" w:type="dxa"/>
            <w:vAlign w:val="bottom"/>
            <w:tcBorders>
              <w:right w:val="single" w:sz="8" w:color="auto"/>
            </w:tcBorders>
          </w:tcPr>
          <w:p>
            <w:pPr>
              <w:spacing w:after="0"/>
              <w:rPr>
                <w:sz w:val="9"/>
                <w:szCs w:val="9"/>
                <w:color w:val="auto"/>
              </w:rPr>
            </w:pPr>
          </w:p>
        </w:tc>
        <w:tc>
          <w:tcPr>
            <w:tcW w:w="3060" w:type="dxa"/>
            <w:vAlign w:val="bottom"/>
            <w:tcBorders>
              <w:right w:val="single" w:sz="8" w:color="auto"/>
            </w:tcBorders>
          </w:tcPr>
          <w:p>
            <w:pPr>
              <w:spacing w:after="0"/>
              <w:rPr>
                <w:sz w:val="9"/>
                <w:szCs w:val="9"/>
                <w:color w:val="auto"/>
              </w:rPr>
            </w:pPr>
          </w:p>
        </w:tc>
        <w:tc>
          <w:tcPr>
            <w:tcW w:w="146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860" w:type="dxa"/>
            <w:vAlign w:val="bottom"/>
            <w:tcBorders>
              <w:left w:val="single" w:sz="8" w:color="auto"/>
              <w:bottom w:val="single" w:sz="8" w:color="auto"/>
              <w:right w:val="single" w:sz="8" w:color="auto"/>
            </w:tcBorders>
          </w:tcPr>
          <w:p>
            <w:pPr>
              <w:ind w:left="160"/>
              <w:spacing w:after="0" w:line="225" w:lineRule="exact"/>
              <w:rPr>
                <w:sz w:val="20"/>
                <w:szCs w:val="20"/>
                <w:color w:val="auto"/>
              </w:rPr>
            </w:pPr>
            <w:r>
              <w:rPr>
                <w:rFonts w:ascii="Times New Roman" w:cs="Times New Roman" w:eastAsia="Times New Roman" w:hAnsi="Times New Roman"/>
                <w:sz w:val="20"/>
                <w:szCs w:val="20"/>
                <w:color w:val="auto"/>
              </w:rPr>
              <w:t>Depemokimab / Exdensur</w:t>
            </w:r>
          </w:p>
        </w:tc>
        <w:tc>
          <w:tcPr>
            <w:tcW w:w="30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ind w:left="80"/>
              <w:spacing w:after="0" w:line="225" w:lineRule="exact"/>
              <w:rPr>
                <w:sz w:val="20"/>
                <w:szCs w:val="20"/>
                <w:color w:val="auto"/>
              </w:rPr>
            </w:pPr>
            <w:r>
              <w:rPr>
                <w:rFonts w:ascii="Times New Roman" w:cs="Times New Roman" w:eastAsia="Times New Roman" w:hAnsi="Times New Roman"/>
                <w:sz w:val="20"/>
                <w:szCs w:val="20"/>
                <w:color w:val="auto"/>
              </w:rPr>
              <w:t>26 weeks</w:t>
            </w:r>
          </w:p>
        </w:tc>
        <w:tc>
          <w:tcPr>
            <w:tcW w:w="0" w:type="dxa"/>
            <w:vAlign w:val="bottom"/>
          </w:tcPr>
          <w:p>
            <w:pPr>
              <w:spacing w:after="0"/>
              <w:rPr>
                <w:sz w:val="1"/>
                <w:szCs w:val="1"/>
                <w:color w:val="auto"/>
              </w:rPr>
            </w:pPr>
          </w:p>
        </w:tc>
      </w:tr>
      <w:tr>
        <w:trPr>
          <w:trHeight w:val="205"/>
        </w:trPr>
        <w:tc>
          <w:tcPr>
            <w:tcW w:w="2860" w:type="dxa"/>
            <w:vAlign w:val="bottom"/>
            <w:tcBorders>
              <w:left w:val="single" w:sz="8" w:color="auto"/>
              <w:right w:val="single" w:sz="8" w:color="auto"/>
            </w:tcBorders>
          </w:tcPr>
          <w:p>
            <w:pPr>
              <w:ind w:left="160"/>
              <w:spacing w:after="0" w:line="206" w:lineRule="exact"/>
              <w:rPr>
                <w:sz w:val="20"/>
                <w:szCs w:val="20"/>
                <w:color w:val="auto"/>
              </w:rPr>
            </w:pPr>
            <w:r>
              <w:rPr>
                <w:rFonts w:ascii="Times New Roman" w:cs="Times New Roman" w:eastAsia="Times New Roman" w:hAnsi="Times New Roman"/>
                <w:sz w:val="20"/>
                <w:szCs w:val="20"/>
                <w:color w:val="auto"/>
              </w:rPr>
              <w:t>Tezepelumab / Tezspire</w:t>
            </w:r>
          </w:p>
        </w:tc>
        <w:tc>
          <w:tcPr>
            <w:tcW w:w="3060" w:type="dxa"/>
            <w:vAlign w:val="bottom"/>
            <w:tcBorders>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20"/>
                <w:szCs w:val="20"/>
                <w:color w:val="auto"/>
              </w:rPr>
              <w:t>Blocks TSLP</w:t>
            </w:r>
          </w:p>
        </w:tc>
        <w:tc>
          <w:tcPr>
            <w:tcW w:w="3060" w:type="dxa"/>
            <w:vAlign w:val="bottom"/>
            <w:tcBorders>
              <w:right w:val="single" w:sz="8" w:color="auto"/>
            </w:tcBorders>
          </w:tcPr>
          <w:p>
            <w:pPr>
              <w:ind w:left="200"/>
              <w:spacing w:after="0" w:line="206" w:lineRule="exact"/>
              <w:rPr>
                <w:sz w:val="20"/>
                <w:szCs w:val="20"/>
                <w:color w:val="auto"/>
              </w:rPr>
            </w:pPr>
            <w:r>
              <w:rPr>
                <w:rFonts w:ascii="Times New Roman" w:cs="Times New Roman" w:eastAsia="Times New Roman" w:hAnsi="Times New Roman"/>
                <w:sz w:val="20"/>
                <w:szCs w:val="20"/>
                <w:color w:val="auto"/>
              </w:rPr>
              <w:t>Severe asthma (without restriction</w:t>
            </w:r>
          </w:p>
        </w:tc>
        <w:tc>
          <w:tcPr>
            <w:tcW w:w="1460" w:type="dxa"/>
            <w:vAlign w:val="bottom"/>
            <w:tcBorders>
              <w:right w:val="single" w:sz="8" w:color="auto"/>
            </w:tcBorders>
          </w:tcPr>
          <w:p>
            <w:pPr>
              <w:ind w:left="80"/>
              <w:spacing w:after="0" w:line="206" w:lineRule="exact"/>
              <w:rPr>
                <w:sz w:val="20"/>
                <w:szCs w:val="20"/>
                <w:color w:val="auto"/>
              </w:rPr>
            </w:pPr>
            <w:r>
              <w:rPr>
                <w:rFonts w:ascii="Times New Roman" w:cs="Times New Roman" w:eastAsia="Times New Roman" w:hAnsi="Times New Roman"/>
                <w:sz w:val="20"/>
                <w:szCs w:val="20"/>
                <w:color w:val="auto"/>
              </w:rPr>
              <w:t>4 weeks</w:t>
            </w:r>
          </w:p>
        </w:tc>
        <w:tc>
          <w:tcPr>
            <w:tcW w:w="0" w:type="dxa"/>
            <w:vAlign w:val="bottom"/>
          </w:tcPr>
          <w:p>
            <w:pPr>
              <w:spacing w:after="0"/>
              <w:rPr>
                <w:sz w:val="1"/>
                <w:szCs w:val="1"/>
                <w:color w:val="auto"/>
              </w:rPr>
            </w:pPr>
          </w:p>
        </w:tc>
      </w:tr>
      <w:tr>
        <w:trPr>
          <w:trHeight w:val="250"/>
        </w:trPr>
        <w:tc>
          <w:tcPr>
            <w:tcW w:w="2860" w:type="dxa"/>
            <w:vAlign w:val="bottom"/>
            <w:tcBorders>
              <w:left w:val="single" w:sz="8" w:color="auto"/>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to type 2 patients only)</w:t>
            </w:r>
          </w:p>
        </w:tc>
        <w:tc>
          <w:tcPr>
            <w:tcW w:w="14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2"/>
        </w:trPr>
        <w:tc>
          <w:tcPr>
            <w:tcW w:w="592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Table 1: Overview of FDA approved biologic treatments for asthma</w:t>
            </w:r>
          </w:p>
        </w:tc>
        <w:tc>
          <w:tcPr>
            <w:tcW w:w="30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1805940</wp:posOffset>
                </wp:positionH>
                <wp:positionV relativeFrom="paragraph">
                  <wp:posOffset>-2068830</wp:posOffset>
                </wp:positionV>
                <wp:extent cx="889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762">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2pt,-162.8999pt" to="142.9pt,-162.8999pt" o:allowincell="f" strokecolor="#000000" strokeweight="0.06pt"/>
            </w:pict>
          </mc:Fallback>
        </mc:AlternateContent>
        <mc:AlternateContent>
          <mc:Choice Requires="wps">
            <w:drawing>
              <wp:anchor simplePos="0" relativeHeight="251657728" behindDoc="1" locked="0" layoutInCell="0" allowOverlap="1">
                <wp:simplePos x="0" y="0"/>
                <wp:positionH relativeFrom="column">
                  <wp:posOffset>3745865</wp:posOffset>
                </wp:positionH>
                <wp:positionV relativeFrom="paragraph">
                  <wp:posOffset>-2068830</wp:posOffset>
                </wp:positionV>
                <wp:extent cx="889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762">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4.95pt,-162.8999pt" to="295.65pt,-162.8999pt" o:allowincell="f" strokecolor="#000000" strokeweight="0.06pt"/>
            </w:pict>
          </mc:Fallback>
        </mc:AlternateContent>
        <mc:AlternateContent>
          <mc:Choice Requires="wps">
            <w:drawing>
              <wp:anchor simplePos="0" relativeHeight="251657728" behindDoc="1" locked="0" layoutInCell="0" allowOverlap="1">
                <wp:simplePos x="0" y="0"/>
                <wp:positionH relativeFrom="column">
                  <wp:posOffset>5685790</wp:posOffset>
                </wp:positionH>
                <wp:positionV relativeFrom="paragraph">
                  <wp:posOffset>-2068830</wp:posOffset>
                </wp:positionV>
                <wp:extent cx="889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 cy="4763"/>
                        </a:xfrm>
                        <a:prstGeom prst="line">
                          <a:avLst/>
                        </a:prstGeom>
                        <a:solidFill>
                          <a:srgbClr val="FFFFFF"/>
                        </a:solidFill>
                        <a:ln w="762">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7pt,-162.8999pt" to="448.4pt,-162.8999pt" o:allowincell="f" strokecolor="#000000" strokeweight="0.06pt"/>
            </w:pict>
          </mc:Fallback>
        </mc:AlternateContent>
      </w:r>
    </w:p>
    <w:p>
      <w:pPr>
        <w:spacing w:after="0" w:line="184"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Tezepelumab is a human monoclonal antibody that binds to the TSLP ligand and prevents its interaction with the TSLP receptor. While tezepelumab has a different mechanism of action compared to verekitug, which inhibits the TSLP receptor itself, both antibodies work at the same point in the TSLP signaling pathway which is upstream of other competitor biologics currently approved for the treatment of asthma, CRSwNP and COPD. We believe the biologic validation for efficacy in patients with severe asthma without elevated type 2 markers as well as the clinical and regulatory progress of tezepelumab provide a strong rationale for our own development program.</w:t>
      </w:r>
    </w:p>
    <w:p>
      <w:pPr>
        <w:spacing w:after="0" w:line="200"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 xml:space="preserve">In 2021, the results of a Phase 3 trial of tezepelumab in participants with severe, uncontrolled asthma were published in the </w:t>
      </w:r>
      <w:r>
        <w:rPr>
          <w:rFonts w:ascii="Times New Roman" w:cs="Times New Roman" w:eastAsia="Times New Roman" w:hAnsi="Times New Roman"/>
          <w:sz w:val="20"/>
          <w:szCs w:val="20"/>
          <w:i w:val="1"/>
          <w:iCs w:val="1"/>
          <w:color w:val="auto"/>
        </w:rPr>
        <w:t>New</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England Journal of Medicine</w:t>
      </w:r>
      <w:r>
        <w:rPr>
          <w:rFonts w:ascii="Times New Roman" w:cs="Times New Roman" w:eastAsia="Times New Roman" w:hAnsi="Times New Roman"/>
          <w:sz w:val="20"/>
          <w:szCs w:val="20"/>
          <w:color w:val="auto"/>
        </w:rPr>
        <w:t>. Participants were dosed every four weeks (“q4w”) with tezepelumab or placebo. The trial met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primary endpoint of reduction in annualized asthma exacerbation rate (“AAER”) with a 56% reduction in AAER over 52 weeks compared to placebo. Tezepelumab also achieved a statistically significant reduction in AAER in participants with low baseline eosinophil counts. In addition, the study included biomarker endpoints that have been found to be clinically relevant in asthma: change from baseline in eosinophil count and change in baseline in FeNO. Both endpoints showed a significant improvement in the biomarkers with a decrease of 150 cells/</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 xml:space="preserve">l from baseline for the eosinophil count and a decrease of 17 parts per billion (“ppb”) for baseline for FeNO. There were no clinically meaningful differences in safety results between the tezepelumab and placebo groups. The most frequently reported adverse events were nasopharyngitis, upper respiratory tract infection and headache. As reported in the </w:t>
      </w:r>
      <w:r>
        <w:rPr>
          <w:rFonts w:ascii="Times New Roman" w:cs="Times New Roman" w:eastAsia="Times New Roman" w:hAnsi="Times New Roman"/>
          <w:sz w:val="20"/>
          <w:szCs w:val="20"/>
          <w:i w:val="1"/>
          <w:iCs w:val="1"/>
          <w:color w:val="auto"/>
        </w:rPr>
        <w:t>New England Journal of Medicine</w:t>
      </w:r>
      <w:r>
        <w:rPr>
          <w:rFonts w:ascii="Times New Roman" w:cs="Times New Roman" w:eastAsia="Times New Roman" w:hAnsi="Times New Roman"/>
          <w:sz w:val="20"/>
          <w:szCs w:val="20"/>
          <w:color w:val="auto"/>
        </w:rPr>
        <w:t>, patients who received tezepelumab had fewer exacerbations and better lung function, asthma control and health-related quality of life than those who received placebo. Based on pooled safety data from the clinical trials of tezepelumab, the resulting FDA approved label for Tezspire identifies hypersensitivity reactions following administration as a clinically significant adverse reaction, as well as pharyngitis, arthralgia and back pain as additional adverse reactions that occurred at an incidence of greater than or equal to 3% and more common than the placebo group.</w:t>
      </w:r>
    </w:p>
    <w:p>
      <w:pPr>
        <w:spacing w:after="0" w:line="2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Dupilumab (q2w), mepolizumab (q4w), reslizumab (q4w), benralizumab (q8w), and depemokimab (q26w) are biologics that target cytokines acting downstream of the TSLP receptor. These treatments, which produce a 48% to 81% reduction in asthma exacerbation rates, have all been approved by the FDA for the treatment of asthma, but all have labels that are restricted to people with high eosinophilic levels, thereby limiting their use in a substantial portion of severe asthma patients. We believe this is due to their downstream mechanism which is restricted to the type 2 inflammation pathway.</w:t>
      </w:r>
    </w:p>
    <w:p>
      <w:pPr>
        <w:spacing w:after="0" w:line="19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The clinical program for tezepelumab and other biologics have established clinical endpoints that were found to be acceptable for approval by the FDA, providing a strong rationale for our own development program.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Unmet need for people living with severe asthma</w:t>
      </w:r>
    </w:p>
    <w:p>
      <w:pPr>
        <w:spacing w:after="0" w:line="12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While there are many approved asthma treatments, there remains a significant unmet need for people living with severe asthma. Despite the use of high dose medicines, avoiding triggers and following treatment plans, many people with severe asthma continue to have uncontrolled symptoms.</w:t>
      </w:r>
    </w:p>
    <w:p>
      <w:pPr>
        <w:spacing w:after="0" w:line="18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Severe asthma may impact normal daily activities, resulting in missing work or school and can directly impact a person’s quality of life. People with severe asthma often demonstrate significant reduction of their lung function when tested by spirometry or a</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440"/>
          </w:cols>
          <w:pgMar w:left="900" w:top="929" w:right="900" w:bottom="371" w:gutter="0" w:footer="0" w:header="0"/>
        </w:sectPr>
      </w:pPr>
    </w:p>
    <w:bookmarkStart w:id="16" w:name="page17"/>
    <w:bookmarkEnd w:id="16"/>
    <w:p>
      <w:pPr>
        <w:ind w:right="340"/>
        <w:spacing w:after="0" w:line="252" w:lineRule="auto"/>
        <w:rPr>
          <w:sz w:val="20"/>
          <w:szCs w:val="20"/>
          <w:color w:val="auto"/>
        </w:rPr>
      </w:pPr>
      <w:r>
        <w:rPr>
          <w:rFonts w:ascii="Times New Roman" w:cs="Times New Roman" w:eastAsia="Times New Roman" w:hAnsi="Times New Roman"/>
          <w:sz w:val="20"/>
          <w:szCs w:val="20"/>
          <w:color w:val="auto"/>
        </w:rPr>
        <w:t>pulmonary function test. Despite the fact that severe asthma accounts for a small percentage of people with asthma, half of all asthma-related healthcare costs are attributed to their treatment. In the United States, asthma is responsible for $80 billion in annual costs due to care, absenteeism and mortality. Asthma also results in over 1.0 million emergency department visits each year and over 3,500 deaths per year in the United States alone.</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People living with uncontrolled symptoms despite compliance with their treatment plan are in need of options with greater efficacy than those that are currently available. This has the potential to not only better control symptoms and improve quality of life but to also reduce the burden on our healthcare system.</w:t>
      </w:r>
    </w:p>
    <w:p>
      <w:pPr>
        <w:spacing w:after="0" w:line="188" w:lineRule="exact"/>
        <w:rPr>
          <w:sz w:val="20"/>
          <w:szCs w:val="20"/>
          <w:color w:val="auto"/>
        </w:rPr>
      </w:pPr>
    </w:p>
    <w:p>
      <w:pPr>
        <w:spacing w:after="0" w:line="240" w:lineRule="exact"/>
        <w:rPr>
          <w:sz w:val="20"/>
          <w:szCs w:val="20"/>
          <w:color w:val="auto"/>
        </w:rPr>
      </w:pPr>
      <w:r>
        <w:rPr>
          <w:rFonts w:ascii="Times New Roman" w:cs="Times New Roman" w:eastAsia="Times New Roman" w:hAnsi="Times New Roman"/>
          <w:sz w:val="20"/>
          <w:szCs w:val="20"/>
          <w:color w:val="auto"/>
        </w:rPr>
        <w:t xml:space="preserve">Even though increased medicine adherence leads to better symptoms control and health outcomes, complying with a treatment plan can be challenging for severe asthma patients. A recent study looked at compliance with biologic treatments using proportion days covered (“PDC”) as a surrogate measure for adherence. The study authors set 0.75 as the mark of good adherence. In the first six months of being prescribed a biologic treatment for asthma, only 61% of people achieved a PDC of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0.75.</w:t>
      </w:r>
    </w:p>
    <w:p>
      <w:pPr>
        <w:spacing w:after="0" w:line="20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Our market research, conducted with healthcare providers, payers, and patients, consistently indicates that efficacy is the primary driver of clinical impact and commercial success in severe asthma and CRSwNP, that healthcare providers are unwilling to trade off any aspect of safety or efficacy for extended dosing, and that the majority of value generated by dosing convenience is captured by moving from every 2- or 4-week dosing to quarterly dosing. These findings support our development strategy focused on delivering high efficacy with quarterly dosing convenience.</w:t>
      </w:r>
    </w:p>
    <w:p>
      <w:pPr>
        <w:spacing w:after="0" w:line="19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Market research shows healthcare providers are not willing to trade off safety or efficacy for extended dosing interval. For instance, approximately 70% of healthcare providers reported that they would switch their asthma patients to another biologic if they observed waning efficacy of a q24w drug.</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We believe that by reducing the frequency of dosing we can increase patient compliance with biologic treatments for severe asthma. Additionally, a less frequent dose interval may appeal to patients that are not satisfied with their current treatment plan or are unwilling to take current biologics due to the treatment burden that comes with frequent dosing.</w:t>
      </w:r>
    </w:p>
    <w:p>
      <w:pPr>
        <w:spacing w:after="0" w:line="18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There is also a subpopulation of patients that live with uncontrolled symptoms due to the limitation of currently available treatments. These patients often have an absence of biomarkers associated with type 2 inflammation and, perhaps unsurprisingly, do not respond to treatments that target molecules downstream in the type 2 inflammation pathway. These patients are in need of a highly effective treatment which has a broad impact on the inflammation pathway.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 for severe asthma</w:t>
      </w:r>
    </w:p>
    <w:p>
      <w:pPr>
        <w:spacing w:after="0" w:line="1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Asthma is a large and growing market as new treatments become available and diagnoses continue to increase. In 2022, 13.5% of Americans had been diagnosed with asthma at one point in their lives, which is a 48% increase in total asthma diagnoses compared to 9.1% of Americans in 1999.</w:t>
      </w:r>
    </w:p>
    <w:p>
      <w:pPr>
        <w:spacing w:after="0" w:line="18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The major asthma markets, including the United States, France, Spain, Germany, Italy, the United Kingdom (“UK”) and Japan, have estimated annual sales of approximately $7.5 billion for 2023 with a compound annual growth rate (“CAGR”) of approximately 5.9% through 2032. The United States alone was estimated to have approximately $6.0 billion in asthma market sales for 2023.</w:t>
      </w:r>
    </w:p>
    <w:p>
      <w:pPr>
        <w:spacing w:after="0" w:line="193"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Of the more than 50 million people diagnosed with asthma in these major markets, it is estimated that only 440,000 patients are treated with biologics currently, or less than 25% of eligible patients. This creates a significant opportunity for a biologic that meets patients’ needs in terms of efficacy and the reduced burden of a longer dosing interval. We believe the longer dosing interval will increase adherence and potentially provide a treatment option for asthma sufferers who were unwilling to take treatments with more frequent dosing. Additionally, because severe asthma is typically treated by specialty care providers rather than primary care physicians, we believe that commercialization can be successfully executed with a focused strategy and sale force.</w:t>
      </w:r>
    </w:p>
    <w:p>
      <w:pPr>
        <w:spacing w:after="0" w:line="20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In the past several years, seven biologic treatments for asthma have been approved by the FDA and six of these have achieved or are projected to achieve greater than $1.0 billion in annual sales by 2026, underscoring the need for new treatments and the large size of the market. Tezepelumab is projected to reach peak global annual sales of over $3.0 billion for severe asthma alone in 2032, and had achieved more than 20% of new to brand share of prescriptions in the United States in its first commercial year.</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10440"/>
          </w:cols>
          <w:pgMar w:left="900" w:top="929" w:right="900" w:bottom="371" w:gutter="0" w:footer="0" w:header="0"/>
        </w:sectPr>
      </w:pPr>
    </w:p>
    <w:bookmarkStart w:id="17" w:name="page18"/>
    <w:bookmarkEnd w:id="17"/>
    <w:p>
      <w:pPr>
        <w:ind w:right="160"/>
        <w:spacing w:after="0" w:line="249" w:lineRule="auto"/>
        <w:rPr>
          <w:sz w:val="20"/>
          <w:szCs w:val="20"/>
          <w:color w:val="auto"/>
        </w:rPr>
      </w:pPr>
      <w:r>
        <w:rPr>
          <w:rFonts w:ascii="Times New Roman" w:cs="Times New Roman" w:eastAsia="Times New Roman" w:hAnsi="Times New Roman"/>
          <w:sz w:val="20"/>
          <w:szCs w:val="20"/>
          <w:color w:val="auto"/>
        </w:rPr>
        <w:t>Taken together, we believe the strength of the biologic market has demonstrated there is room for multiple entrants into the market and the opportunity for rapid acceleration for market share. The opportunity in asthma is shown in Figure 3, which summarizes 2023 estimates of biologics eligible patients and patients treated with biologics. We believe the potency and safety clinical data that we have generated for verekitug to date, along with the expected extended dosing interval, means we are well positioned to capitalize on this market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160655</wp:posOffset>
            </wp:positionV>
            <wp:extent cx="3052445" cy="21615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extLst>
                    </a:blip>
                    <a:srcRect/>
                    <a:stretch>
                      <a:fillRect/>
                    </a:stretch>
                  </pic:blipFill>
                  <pic:spPr bwMode="auto">
                    <a:xfrm>
                      <a:off x="0" y="0"/>
                      <a:ext cx="3052445" cy="216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3: Biologics-eligible vs. currently-treated severe asthma patients</w:t>
      </w:r>
    </w:p>
    <w:p>
      <w:pPr>
        <w:spacing w:after="0" w:line="2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By acting upstream in the signaling pathway, we believe verekitug, similar to tezepelumab, has the potential to treat a broader asthma population than other available biologics. This would address a population that is refractory to existing treatments and in need of new therapies. We are confident in the ability of verekitug to gain market share if approved by regulatory agencies.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CRSwNP</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Disease overview</w:t>
      </w:r>
    </w:p>
    <w:p>
      <w:pPr>
        <w:spacing w:after="0" w:line="120"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CRSwNP is an inflammatory disease of the upper airway, marked by chronic sinonasal inflammation and the presence of inflammatory polyps in the nasal passages and paranasal sinuses. CRSwNP is associated with significant morbidity and debilitating symptoms, and it is estimated that approximately 900,000 patients in the United States and Europe suffer from this disease.</w:t>
      </w:r>
    </w:p>
    <w:p>
      <w:pPr>
        <w:spacing w:after="0" w:line="19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CRSwNP has four main symptoms: runny nose or postnasal drip, nasal congestion, facial pressure and/or pain and loss of smell and/or taste. Patients may also experience ear pain, sneezing, severe difficulty breathing through the nose and sleep disturbances. These symptoms can have a significant impact on quality of life. It is estimated that over 40% of people with severe asthma also have CRSwNP and that up to 70% of people with CRSwNP also have asthma, demonstrating a strong association between the two conditions and an increase in comorbid asthma severity.</w:t>
      </w:r>
    </w:p>
    <w:p>
      <w:pPr>
        <w:spacing w:after="0" w:line="197"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cause of CRSwNP is not fully understood although the role of the immune system in the condition has been well studied. CRSwNP is predominantly a type 2 inflammatory response with elevated levels of TSLP as well as IL-5, IL-13, eosinophilic granule proteins, eosinophil chemotactic proteins, basophils, innate type 2 lymphoid cells and mast cells. Additional studies have shown that certain populations lack increased eosinophils and have lower levels of IL-5, indicating a non-type 2 inflammatory response as well.</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current CRSwNP treatments</w:t>
      </w:r>
    </w:p>
    <w:p>
      <w:pPr>
        <w:spacing w:after="0" w:line="1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Treatment for CRSwNP often begins with medical management, primarily involving topical corticosteroids and nasal saline irrigations. Intranasal corticosteroids have been shown to decrease nasal polyp size, lessen sinonasal symptoms and improve quality of life. Patients who are unable to manage their symptoms with medical management may undergo sinus surgery; however, polyps and symptoms can recur post-surgery. People with both asthma and CRSwNP are more likely to undergo sinus surgery than those with only CRSwNP.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10340"/>
          </w:cols>
          <w:pgMar w:left="900" w:top="929" w:right="1000" w:bottom="371" w:gutter="0" w:footer="0" w:header="0"/>
        </w:sectPr>
      </w:pPr>
    </w:p>
    <w:bookmarkStart w:id="18" w:name="page19"/>
    <w:bookmarkEnd w:id="18"/>
    <w:p>
      <w:pPr>
        <w:spacing w:after="0" w:line="244" w:lineRule="auto"/>
        <w:rPr>
          <w:sz w:val="20"/>
          <w:szCs w:val="20"/>
          <w:color w:val="auto"/>
        </w:rPr>
      </w:pPr>
      <w:r>
        <w:rPr>
          <w:rFonts w:ascii="Times New Roman" w:cs="Times New Roman" w:eastAsia="Times New Roman" w:hAnsi="Times New Roman"/>
          <w:sz w:val="20"/>
          <w:szCs w:val="20"/>
          <w:color w:val="auto"/>
        </w:rPr>
        <w:t>Recently, biologics targeting the type 2 inflammation pathway have been approved by the FDA as treatments for CRSwNP. Similar to asthma, biologic treatments targeting IgE, IL-5, IL-4Ra, and TSLP have been approved for CRSwNP. Tezepelumab, the most recent of the FDA approvals in CRSwNP, showed reduction in nasal polyp severity, and reduction of the need for surgery and systemic corticosteroid use versus placebo. Omalizumab, an anti-IgE monoclonal antibody, was shown to reduce nasal polyp size and improve symptoms compared to placebo in CRSwNP. Mepolizumab, a humanized anti-IL5 antibody, was shown to reduce nasal polyps and improve sense of smell, post-nasal drip and nasal congestion compared to placebo for CRSwNP patients with severe nasal polyposis refractory to corticosteroid therapy. Dupilumab, a human monoclonal antibody that binds IL-4Ra and inhibits IL-4 and IL-13 signaling, reduced nasal polyp burden and improved nasal symptoms when used in conjunction with intranasal steroids in patients with refractory CRSwNP.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2821940</wp:posOffset>
                </wp:positionH>
                <wp:positionV relativeFrom="paragraph">
                  <wp:posOffset>-749935</wp:posOffset>
                </wp:positionV>
                <wp:extent cx="32385"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238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2.2pt,-59.0499pt" to="224.75pt,-59.0499pt" o:allowincell="f" strokecolor="#000000" strokeweight="0.4799pt"/>
            </w:pict>
          </mc:Fallback>
        </mc:AlternateContent>
      </w:r>
    </w:p>
    <w:p>
      <w:pPr>
        <w:spacing w:after="0" w:line="186"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These FDA approvals have established a well-understood regulatory pathway and route to commercialization. The primary endpoints of the trials were similar as well, including reduction in nasal polyp score and nasal congestion/obstruction. The trials recruited a significant proportion of patients with comorbid asthma (58% to 71%) and with prior surgery (58% to 100%), highlighting the benefit that biologics can provide to a broad population of people with CRSwNP.</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Unmet need for people living with CRSwNP</w:t>
      </w:r>
    </w:p>
    <w:p>
      <w:pPr>
        <w:spacing w:after="0" w:line="11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While there are several treatments available, there remains a significant disease and treatment burden for people living with CRSwNP. QoL studies show that the burden of living with CRSwNP is comparable to other chronic diseases such as COPD, asthma and diabetes. People with CRSwNP even had significantly worse social functioning scores than those with congestive heart failure. One of the most troublesome symptoms in terms of QoL for people with CRSwNP is loss of smell, which correlates with disease severity.</w:t>
      </w:r>
    </w:p>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Beyond the burden of the disease, there are significant risks associated with current standard of care treatments for CRSwNP as well. Corticosteroid use, even in the short term, is associated with an increased risk of acute complications such as sepsis, venous thromboembolism and fracture.</w:t>
      </w:r>
    </w:p>
    <w:p>
      <w:pPr>
        <w:spacing w:after="0" w:line="188"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People with serious CRSwNP requiring sinus surgery face an additional burden. While endoscopic sinonasal surgery is generally safe, risk exists with any surgical procedure. Minor complications are reported in 5% of routine endoscopic surgeries and major complications are reported in 0.5% to 1%. Even with a successful surgery, the recurrence rate of CRSwNP ranges from 20% to 60% within 18 months to four years and increases to 79% after 12 years. 37% of patients are found to have revision surgery over a 12-year period, and it is not uncommon for patients to have multiple surgeries. Recurrence is particularly common for people with severe disease, including those also living with asthma or who have undergone prior surgeries. Even with surgery, many people with CRSwNP remain symptomatic. One study reported that 23% of patients continued to have persistent symptoms post-surgery.</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The recurrence of symptoms and need for multiple surgeries demonstrates that people living with CRSwNP do not have access to treatments that effectively manage their disease. A therapy with strong efficacy that provides better symptom control is a significant need for this patient population.</w:t>
      </w:r>
    </w:p>
    <w:p>
      <w:pPr>
        <w:spacing w:after="0" w:line="188"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Our market research, conducted with healthcare providers, payers, and patients, consistently indicates that efficacy is the primary driver of clinical impact and commercial success in severe asthma and CRSwNP, that healthcare providers are unwilling to trade off any aspect of safety or efficacy for extended dosing, and that the majority of value generated by dosing convenience is captured by moving from every 2- or 4-week dosing to quarterly dosing. These findings support our development strategy focused on delivering high efficacy with quarterly dosing convenience.</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 for CRSwNP</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In the major markets for CRSwNP, which include the United States, the five major European markets (France, Spain, Germany, Italy and the UK) and Japan, there are an estimated 900,000 people diagnosed with CRSwNP. Sales in these markets are expected to exceed $4.0 billion by 2030. Dupilumab alone has an annual global sales estimate for the treatment of CRSwNP of up to $1.5 billion by 2030 according to third-party research analyst reports.</w:t>
      </w:r>
    </w:p>
    <w:p>
      <w:pPr>
        <w:spacing w:after="0" w:line="193"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color w:val="auto"/>
        </w:rPr>
        <w:t>Of the 900,000 people diagnosed with CRSwNP in the United States, major European markets and Japan, it is estimated that approximately 300,000 adults are eligible for biologics in the United States alone.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10420"/>
          </w:cols>
          <w:pgMar w:left="900" w:top="929" w:right="920" w:bottom="371" w:gutter="0" w:footer="0" w:header="0"/>
        </w:sectPr>
      </w:pPr>
    </w:p>
    <w:bookmarkStart w:id="19" w:name="page20"/>
    <w:bookmarkEnd w:id="19"/>
    <w:p>
      <w:pPr>
        <w:ind w:right="140"/>
        <w:spacing w:after="0" w:line="259" w:lineRule="auto"/>
        <w:rPr>
          <w:sz w:val="20"/>
          <w:szCs w:val="20"/>
          <w:color w:val="auto"/>
        </w:rPr>
      </w:pPr>
      <w:r>
        <w:rPr>
          <w:rFonts w:ascii="Times New Roman" w:cs="Times New Roman" w:eastAsia="Times New Roman" w:hAnsi="Times New Roman"/>
          <w:sz w:val="20"/>
          <w:szCs w:val="20"/>
          <w:color w:val="auto"/>
        </w:rPr>
        <w:t>We believe there is a significant opportunity for additional biologic entrants into this market given the large unmet medical need that remains as many people with CRSwNP continue to live with uncontrolled symptoms despite surgery, and corticosteroid treatment.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COPD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Disease overview</w:t>
      </w:r>
    </w:p>
    <w:p>
      <w:pPr>
        <w:spacing w:after="0" w:line="1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Like asthma, COPD is a chronic inflammatory disease of the airways, associated with airflow worsening and episodic exacerbations that drive morbidity, mortality, and health care utilization. Chronic inflammation causes structural changes within the lungs, narrowing already small airways and damaging lung parenchyma which causes air sacs to lose functionality and decrease lung elasticity. It is typically caused by long-term exposure to irritants, most often cigarette smoke. Air pollution is also a major risk factor, primarily in lower and middle-income countries.</w:t>
      </w:r>
    </w:p>
    <w:p>
      <w:pPr>
        <w:spacing w:after="0" w:line="197"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COPD is the fourth leading cause of death worldwide, causing approximately 3.5 million deaths in 2021. Almost 14.2 million Americans, or 6.5% of the adult population, reported in one study that they have been diagnosed with COPD, however, the true prevalence is likely higher given that more than half of adults with low pulmonary function in another study reported that they were not aware that they had COPD.</w:t>
      </w:r>
    </w:p>
    <w:p>
      <w:pPr>
        <w:spacing w:after="0" w:line="193"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20"/>
          <w:szCs w:val="20"/>
          <w:color w:val="auto"/>
        </w:rPr>
        <w:t>People living with COPD may experience daily cough, difficulty breathing, mucus production, chest tightness, wheezing, lack of energy and frequent respiratory infections. Symptoms often don’t appear until significant lung damage has already occurred and will worsen over time. Despite the progressive nature of COPD, good symptom control can be achieved with proper treatment.</w:t>
      </w:r>
    </w:p>
    <w:p>
      <w:pPr>
        <w:spacing w:after="0" w:line="185"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0"/>
          <w:szCs w:val="20"/>
          <w:color w:val="auto"/>
        </w:rPr>
        <w:t>With moderate to severe COPD (stages 2 and 3) everyday activities may result in shortness of breath and frequent exacerbations, including increased and discolored phlegm. With very severe, or stage 4, COPD almost any activity results in shortness of breath, which limits mobility and may require supplemental oxygen. People with moderate to very severe COPD are also more likely to acquire lung infections like bronchitis and pneumonia.</w:t>
      </w:r>
    </w:p>
    <w:p>
      <w:pPr>
        <w:spacing w:after="0" w:line="19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Historically, COPD has been considered a disease driven by non-type 2 immune responses. Recently it has been shown that 20% to 40% of COPD patients also exhibit type 2 inflammation. Published research has shown that IL-4 and IL-13, cytokines in the type 2 inflammation pathway, may play a role in COPD pathogenesis. Elevated levels of TSLP have been found in the airways of people with COPD. In bronchial biopsies, TSLP receptor expression was highest in patients with severe COPD compared to healthy controls. Viral infection can also increase TSLP expression in epithelial cells, suggesting the potential role of TSLP in COPD exacerbations.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 of current COPD treatments</w:t>
      </w:r>
    </w:p>
    <w:p>
      <w:pPr>
        <w:spacing w:after="0" w:line="12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color w:val="auto"/>
        </w:rPr>
        <w:t>Currently available treatments for COPD include inhaled steroids to reduce airway inflammation and bronchodilator inhalers to improve airflow. Oxygen and surgery may also be used for some patients with severe COPD. Similar to asthma and CRSwNP, biologics are also being developed as new and potentially transformative treatments, and recently, dupilumab became the first biologic approved for the treatment of COPD.</w:t>
      </w:r>
    </w:p>
    <w:p>
      <w:pPr>
        <w:spacing w:after="0" w:line="19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 xml:space="preserve">In May 2023, Phase 3 clinical trial results in the </w:t>
      </w:r>
      <w:r>
        <w:rPr>
          <w:rFonts w:ascii="Times New Roman" w:cs="Times New Roman" w:eastAsia="Times New Roman" w:hAnsi="Times New Roman"/>
          <w:sz w:val="20"/>
          <w:szCs w:val="20"/>
          <w:i w:val="1"/>
          <w:iCs w:val="1"/>
          <w:color w:val="auto"/>
        </w:rPr>
        <w:t>New England Journal of Medicine</w:t>
      </w:r>
      <w:r>
        <w:rPr>
          <w:rFonts w:ascii="Times New Roman" w:cs="Times New Roman" w:eastAsia="Times New Roman" w:hAnsi="Times New Roman"/>
          <w:sz w:val="20"/>
          <w:szCs w:val="20"/>
          <w:color w:val="auto"/>
        </w:rPr>
        <w:t xml:space="preserve"> showed that dupilumab, an anti-IL4Ra antibody, was the first biologic to demonstrate a significant reduction in moderate or severe acute exacerbations of COPD by 30%, when compared to placebo. Additionally, dupilumab also significantly improved lung function at 12 and 52 weeks. On the basis of these data, dupilumab was recently approved by the FDA as an add-on maintenance treatment of patients with inadequately controlled COPD and an eosinophilic phenotype. In May 2024, Phase 2a proof-of-concept data for tezepelumab for the treatment of moderate to very severe COPD were presented at the ATS International Conference. This trial reported a reduction in the frequency of COPD exacerbations that has supported advancement of tezepelumab into Phase 3 development in COPD. The most frequently reported adverse events for tezepelumab were worsening of COPD (12.1%) and incidents of COVID-19 infections (14.5%, trial commenced in July 2019), demonstrating a safety and tolerability profile consistent with that observed for tezepelumab in severe asthma. By contrast, previous trials of biologic agents targeting IL-5 or its receptors have shown mixed results with respect to clinical activity and adverse events. Taken together, these clinical trial data reinforce our plan to develop verekitug for the treatment of COPD.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10420"/>
          </w:cols>
          <w:pgMar w:left="900" w:top="929" w:right="920" w:bottom="371"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0"/>
          <w:szCs w:val="20"/>
          <w:b w:val="1"/>
          <w:bCs w:val="1"/>
          <w:i w:val="1"/>
          <w:iCs w:val="1"/>
          <w:color w:val="auto"/>
        </w:rPr>
        <w:t>Unmet need for people living with COPD</w:t>
      </w:r>
    </w:p>
    <w:p>
      <w:pPr>
        <w:spacing w:after="0" w:line="12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COPD is the fourth leading cause of death worldwide, causing approximately 3.5 million deaths in 2021 and is also associated with significant morbidity. Population studies have shown among patients hospitalized with COPD, 50% are readmitted in the future and approximately 13% will be hospitalized in a three-year period. In total, 60% of all COPD patients will report some limitations in their daily activity, with 45% being unable to work and 75% complaining of difficulty climbing stairs. These increases in hospitalizations and limitations to daily life are reported despite the currently available treatments. It is projected that there will be approximately 3.5 million COPD patients inadequately controlled on triple-therapy in the U.S. by 2033.</w:t>
      </w:r>
    </w:p>
    <w:p>
      <w:pPr>
        <w:spacing w:after="0" w:line="20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With the emerging data that type 2 inflammation plays a role in COPD, particularly exacerbations, for a portion of patients, there is a need to develop therapies that can address this patient population whose symptoms are inadequately managed with currently available therapies.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 opportunity for COPD</w:t>
      </w:r>
    </w:p>
    <w:p>
      <w:pPr>
        <w:spacing w:after="0" w:line="119" w:lineRule="exact"/>
        <w:rPr>
          <w:sz w:val="20"/>
          <w:szCs w:val="20"/>
          <w:color w:val="auto"/>
        </w:rPr>
      </w:pPr>
    </w:p>
    <w:p>
      <w:pPr>
        <w:jc w:val="both"/>
        <w:ind w:right="100"/>
        <w:spacing w:after="0" w:line="259" w:lineRule="auto"/>
        <w:rPr>
          <w:sz w:val="20"/>
          <w:szCs w:val="20"/>
          <w:color w:val="auto"/>
        </w:rPr>
      </w:pPr>
      <w:r>
        <w:rPr>
          <w:rFonts w:ascii="Times New Roman" w:cs="Times New Roman" w:eastAsia="Times New Roman" w:hAnsi="Times New Roman"/>
          <w:sz w:val="20"/>
          <w:szCs w:val="20"/>
          <w:color w:val="auto"/>
        </w:rPr>
        <w:t>Millions of people worldwide continue to suffer from COPD despite currently available treatments, underscoring the large need for more effective treatments for this patient population. Dupilumab and Mepolizumab are currently the only biologics approved for the treatment of COPD, and others are in late-stage clinical development.</w:t>
      </w:r>
    </w:p>
    <w:p>
      <w:pPr>
        <w:spacing w:after="0" w:line="18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Dupilumab is projected to reach peak sales of approximately $4.0 billion in COPD, while only penetrating 20% of the market, according to third-party research analyst reports. Tezepelumab, which shared positive Phase 2a data indicating it may be effective in patients with eosinophil counts at 150 or greater, is projected to have global annual sales of over $5.0 billion for COPD alone in 2033, if approved in this indication, given the broader patient population it may be able to address.</w:t>
      </w:r>
    </w:p>
    <w:p>
      <w:pPr>
        <w:spacing w:after="0" w:line="19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Given the size of the COPD patient population, high rates of morbidity and mortality despite currently available treatments, we believe COPD represents one of the largest unmet needs worldwide.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Verekitug, the only known antagonist of the TSLP receptor currently in clinical development</w:t>
      </w:r>
    </w:p>
    <w:p>
      <w:pPr>
        <w:spacing w:after="0" w:line="124"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Our product candidate, verekitug, is a novel recombinant fully human IgG1 monoclonal antibody that we are developing as a potential treatment for multiple inflammation-related diseases across a broad spectrum of patients. Verekitug binds to the TSLP receptor and inhibits its signaling, and to our knowledge, it is the only monoclonal antibody that targets and inhibits the TSLP receptor currently in clinical development. TSLP is a cytokine which is a clinically validated driver of inflammatory response positioned upstream of multiple signaling cascades that affect a variety of immune mediated diseases. In preclinical studies, which were not designed to support formal statistical comparisons, verekitug demonstrated very high occupancy of the TSLP receptor and potent inhibition of TSLP signaling. Additionally, verekitug inhibited cytokine production from CD4+ T cells, suggesting that it may be effective against both type 2 and non-type 2 inflammation. Currently available biologics that target cytokines downstream of TSLP appear to only be effective against type 2 inflammation.</w:t>
      </w:r>
    </w:p>
    <w:p>
      <w:pPr>
        <w:spacing w:after="0" w:line="20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May 2024, we presented full proof-of-concept data from our randomized, double-blind, placebo-controlled Phase 1b MAD clinical trial in asthma patients demonstrating that dosing with verekitug led to rapid and complete TSLP receptor occupancy, and reductions in disease-related biomarkers, FeNO and blood eos, that were rapid, substantial and sustained for up to 24 weeks after the last dose. This study also demonstrated that verekitug is significantly more potent than tezepelumab (based on published tezepelumab data), which, combined with verekitug’s PK profile, enables an extended dosing interval of up to 24 weeks, compared to tezepelumab (four-week dosing interval). Furthermore, clinical data from our MAD trial indicate an approximately 50% greater effect on FeNO than has previously been reported for tezepelumab. We have not conducted head-to-head clinical studies of verekitug against tezepelumab, and note that ongoing and future clinical trials for verekitug may produce differing clinical activity and tolerability results. In the Phase 1 SAD trial in healthy volunteers, verekitug demonstrated a favorable tolerability profile with no drug-related serious treatment-emergent adverse events, dose proportional pharmacokinetics and a pharmacodynamic effect consistent with TSLP antagonism. We reported positive top-line results from our Phase 2 clinical trial in patients with CRSwNP in September 2025 and positive top-line results from our Phase 2 clinical trial in patients with severe asthma in February 2026. In both Phase 2 clinical trials, verekitug was generally well tolerated, demonstrating a favorable safety profile consistent with previous studies. Across our five Phase 1 and Phase 2 clinical trials, we have treated approximately 500 participants with verekitug.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Verekitug’s preclinical and clinical data suggest:</w:t>
      </w:r>
    </w:p>
    <w:p>
      <w:pPr>
        <w:spacing w:after="0" w:line="119" w:lineRule="exact"/>
        <w:rPr>
          <w:sz w:val="20"/>
          <w:szCs w:val="20"/>
          <w:color w:val="auto"/>
        </w:rPr>
      </w:pPr>
    </w:p>
    <w:p>
      <w:pPr>
        <w:ind w:left="5120" w:right="4980" w:hanging="5113"/>
        <w:spacing w:after="0" w:line="566" w:lineRule="auto"/>
        <w:tabs>
          <w:tab w:leader="none" w:pos="49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Verekitug is an extremely potent inhibitor of TSLP signaling. 16</w:t>
      </w:r>
    </w:p>
    <w:p>
      <w:pPr>
        <w:sectPr>
          <w:pgSz w:w="12240" w:h="15840" w:orient="portrait"/>
          <w:cols w:equalWidth="0" w:num="1">
            <w:col w:w="10400"/>
          </w:cols>
          <w:pgMar w:left="900" w:top="929" w:right="940" w:bottom="851" w:gutter="0" w:footer="0" w:header="0"/>
        </w:sectPr>
      </w:pPr>
    </w:p>
    <w:bookmarkStart w:id="21" w:name="page22"/>
    <w:bookmarkEnd w:id="21"/>
    <w:p>
      <w:pPr>
        <w:ind w:left="500" w:hanging="493"/>
        <w:spacing w:after="0" w:line="259" w:lineRule="auto"/>
        <w:tabs>
          <w:tab w:leader="none" w:pos="5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Verekitug’s potency translates to a significant impact on biomarkers of severe asthma which are correlated with both disease severity and treatment response. Based on these clinical data verekitug’s potency is more than 300-fold greater than that reported for tezepelumab.</w:t>
      </w:r>
    </w:p>
    <w:p>
      <w:pPr>
        <w:spacing w:after="0" w:line="65" w:lineRule="exact"/>
        <w:rPr>
          <w:rFonts w:ascii="Times New Roman" w:cs="Times New Roman" w:eastAsia="Times New Roman" w:hAnsi="Times New Roman"/>
          <w:sz w:val="20"/>
          <w:szCs w:val="20"/>
          <w:color w:val="auto"/>
        </w:rPr>
      </w:pPr>
    </w:p>
    <w:p>
      <w:pPr>
        <w:ind w:left="500" w:right="40" w:hanging="493"/>
        <w:spacing w:after="0" w:line="278" w:lineRule="auto"/>
        <w:tabs>
          <w:tab w:leader="none" w:pos="499"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Verekitug’s potency enables an extended dosing interval of up to 24 weeks and is currently being investigated in our Phase 2 clinical trial in people with COPD.</w:t>
      </w:r>
    </w:p>
    <w:p>
      <w:pPr>
        <w:spacing w:after="0" w:line="168"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Based on the consistency from preclinical to clinical results as well as the potent inhibition of TSLP signaling, we believe verekitug has the potential to be a best-in-class treatment for severe asthma, CRSwNP, COPD and other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142875</wp:posOffset>
            </wp:positionV>
            <wp:extent cx="5770880" cy="3256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extLst>
                    </a:blip>
                    <a:srcRect/>
                    <a:stretch>
                      <a:fillRect/>
                    </a:stretch>
                  </pic:blipFill>
                  <pic:spPr bwMode="auto">
                    <a:xfrm>
                      <a:off x="0" y="0"/>
                      <a:ext cx="5770880" cy="325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4: Verekitug neutralizes TSLP, a cytokine upstream of those targeted by existing biologics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Preclinical data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Target engagement and inhibition</w:t>
      </w:r>
    </w:p>
    <w:p>
      <w:pPr>
        <w:spacing w:after="0" w:line="120"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color w:val="auto"/>
        </w:rPr>
        <w:t>In preclinical studies conducted by Astellas, which were not designed to support formal statistical comparisons, verekitug was able to efficiently bind and inhibit the TSLP receptor.</w:t>
      </w:r>
    </w:p>
    <w:p>
      <w:pPr>
        <w:spacing w:after="0" w:line="16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Verekitug inhibited the interaction between TSLP and TSLP receptor in a dose -dependent manner with a 50% inhibitory concentration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20"/>
          <w:szCs w:val="20"/>
          <w:color w:val="auto"/>
        </w:rPr>
        <w:t>”) of 208 ng/mL and a 90% inhibitory concentration (IC</w:t>
      </w:r>
      <w:r>
        <w:rPr>
          <w:rFonts w:ascii="Times New Roman" w:cs="Times New Roman" w:eastAsia="Times New Roman" w:hAnsi="Times New Roman"/>
          <w:sz w:val="12"/>
          <w:szCs w:val="12"/>
          <w:color w:val="auto"/>
        </w:rPr>
        <w:t>90</w:t>
      </w:r>
      <w:r>
        <w:rPr>
          <w:rFonts w:ascii="Times New Roman" w:cs="Times New Roman" w:eastAsia="Times New Roman" w:hAnsi="Times New Roman"/>
          <w:sz w:val="20"/>
          <w:szCs w:val="20"/>
          <w:color w:val="auto"/>
        </w:rPr>
        <w:t>) of 462 ng/mL. Verekitug also inhibited TSLP-induced proliferation of Ba/F3 cells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20"/>
          <w:szCs w:val="20"/>
          <w:color w:val="auto"/>
        </w:rPr>
        <w:t xml:space="preserve"> = 90.7 ng/mL, IC</w:t>
      </w:r>
      <w:r>
        <w:rPr>
          <w:rFonts w:ascii="Times New Roman" w:cs="Times New Roman" w:eastAsia="Times New Roman" w:hAnsi="Times New Roman"/>
          <w:sz w:val="12"/>
          <w:szCs w:val="12"/>
          <w:color w:val="auto"/>
        </w:rPr>
        <w:t>90</w:t>
      </w:r>
      <w:r>
        <w:rPr>
          <w:rFonts w:ascii="Times New Roman" w:cs="Times New Roman" w:eastAsia="Times New Roman" w:hAnsi="Times New Roman"/>
          <w:sz w:val="20"/>
          <w:szCs w:val="20"/>
          <w:color w:val="auto"/>
        </w:rPr>
        <w:t xml:space="preserve"> = 200 ng/mL). Studies also showed that verekitug inhibited TSLP-induced production of CCL-17 in a human cell line in a dose dependent manner.</w:t>
      </w:r>
    </w:p>
    <w:p>
      <w:pPr>
        <w:spacing w:after="0" w:line="195"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20"/>
          <w:szCs w:val="20"/>
          <w:color w:val="auto"/>
        </w:rPr>
        <w:t>These studies were conducted using tezepelumab as an active comparator. Across multiple experiments, verekitug was found to be at least more than four times more potent based on the IC</w:t>
      </w:r>
      <w:r>
        <w:rPr>
          <w:rFonts w:ascii="Times New Roman" w:cs="Times New Roman" w:eastAsia="Times New Roman" w:hAnsi="Times New Roman"/>
          <w:sz w:val="12"/>
          <w:szCs w:val="12"/>
          <w:color w:val="auto"/>
        </w:rPr>
        <w:t>50</w:t>
      </w:r>
      <w:r>
        <w:rPr>
          <w:rFonts w:ascii="Times New Roman" w:cs="Times New Roman" w:eastAsia="Times New Roman" w:hAnsi="Times New Roman"/>
          <w:sz w:val="20"/>
          <w:szCs w:val="20"/>
          <w:color w:val="auto"/>
        </w:rPr>
        <w:t xml:space="preserve"> and IC</w:t>
      </w:r>
      <w:r>
        <w:rPr>
          <w:rFonts w:ascii="Times New Roman" w:cs="Times New Roman" w:eastAsia="Times New Roman" w:hAnsi="Times New Roman"/>
          <w:sz w:val="12"/>
          <w:szCs w:val="12"/>
          <w:color w:val="auto"/>
        </w:rPr>
        <w:t>90</w:t>
      </w:r>
      <w:r>
        <w:rPr>
          <w:rFonts w:ascii="Times New Roman" w:cs="Times New Roman" w:eastAsia="Times New Roman" w:hAnsi="Times New Roman"/>
          <w:sz w:val="20"/>
          <w:szCs w:val="20"/>
          <w:color w:val="auto"/>
        </w:rPr>
        <w:t xml:space="preserve"> values for both the Ba/F3 cell proliferation and CCL17 production assays.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10380"/>
          </w:cols>
          <w:pgMar w:left="900" w:top="929" w:right="960" w:bottom="371" w:gutter="0" w:footer="0" w:header="0"/>
        </w:sectPr>
      </w:pPr>
    </w:p>
    <w:bookmarkStart w:id="22" w:name="page23"/>
    <w:bookmarkEnd w:id="22"/>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The IC</w:t>
      </w:r>
      <w:r>
        <w:rPr>
          <w:rFonts w:ascii="Times New Roman" w:cs="Times New Roman" w:eastAsia="Times New Roman" w:hAnsi="Times New Roman"/>
          <w:sz w:val="12"/>
          <w:szCs w:val="12"/>
          <w:color w:val="auto"/>
        </w:rPr>
        <w:t>90</w:t>
      </w:r>
      <w:r>
        <w:rPr>
          <w:rFonts w:ascii="Times New Roman" w:cs="Times New Roman" w:eastAsia="Times New Roman" w:hAnsi="Times New Roman"/>
          <w:sz w:val="20"/>
          <w:szCs w:val="20"/>
          <w:color w:val="auto"/>
        </w:rPr>
        <w:t xml:space="preserve"> values from the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assays suggest a target trough concentration of approximately 0.3 </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g/mL as an effective dose for verekitug. These results, as shown in Figure 5 below, underscore the potency of verekitug and the potential for sufficient efficacy even at low drug 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153670</wp:posOffset>
            </wp:positionV>
            <wp:extent cx="5770880" cy="2606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extLst>
                        <a:ext uri="{28A0092B-C50C-407E-A947-70E740481C1C}"/>
                      </a:extLst>
                    </a:blip>
                    <a:srcRect/>
                    <a:stretch>
                      <a:fillRect/>
                    </a:stretch>
                  </pic:blipFill>
                  <pic:spPr bwMode="auto">
                    <a:xfrm>
                      <a:off x="0" y="0"/>
                      <a:ext cx="577088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i w:val="1"/>
          <w:iCs w:val="1"/>
          <w:color w:val="auto"/>
        </w:rPr>
        <w:t>Figure 5: Left panel: In a competitive ELISA study, verekitug was shown to inhibit the interaction between TSLP and TSLP receptor in a dose-dependent manner. Right panel: Ba/F3 cells were co-transfected with human IL-7Ra and TSLP receptor. When treated with verekitug, inhibition of TSLP-induced proliferation was seen.</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Toxicology</w:t>
      </w:r>
    </w:p>
    <w:p>
      <w:pPr>
        <w:spacing w:after="0" w:line="12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 xml:space="preserve">The safety of verekitug has been evaluated in multiple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in vivo</w:t>
      </w:r>
      <w:r>
        <w:rPr>
          <w:rFonts w:ascii="Times New Roman" w:cs="Times New Roman" w:eastAsia="Times New Roman" w:hAnsi="Times New Roman"/>
          <w:sz w:val="20"/>
          <w:szCs w:val="20"/>
          <w:color w:val="auto"/>
        </w:rPr>
        <w:t xml:space="preserve"> studies conducted by Astellas. In single-dose toxicity studies, doses up to 50 mg/kg were not associated with system toxicity findings and verekitug showed no discernible subcutaneous irritation at the injection site in cynomolgus monkeys. Repeat-dose toxicology studies of 4-, 13- and 26-weeks duration were conducted in cynomolgus monkeys. In the 26-week study, dose levels of 25, 50 and 100 mg/kg once weekly were evaluated with no treatment-related findings seen for: clinical signs, body weight, food consumption, ophthalmology, electrocardiography, urinalysis, hematology, blood chemistry, gross pathology, organ weights or histopathology.</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Phase 1 clinical trials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 SAD clinical trial design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Verekitug was investigated in a Phase 1 SAD clinical trial conducted by Astellas, which enrolled 56 healthy volunteers aged 18 to</w:t>
      </w:r>
    </w:p>
    <w:p>
      <w:pPr>
        <w:spacing w:after="0" w:line="28" w:lineRule="exact"/>
        <w:rPr>
          <w:sz w:val="20"/>
          <w:szCs w:val="20"/>
          <w:color w:val="auto"/>
        </w:rPr>
      </w:pPr>
    </w:p>
    <w:p>
      <w:pPr>
        <w:ind w:right="40" w:firstLine="7"/>
        <w:spacing w:after="0" w:line="244" w:lineRule="auto"/>
        <w:tabs>
          <w:tab w:leader="none" w:pos="301"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primary objective of the study was safety, tolerability and PK following single intravenous (“IV”) and subcutaneous (“SC”) doses of verekitug. Secondary and exploratory objectives were absolute bioavailability following a single SC dose and PD following single IV and SC doses.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10440"/>
          </w:cols>
          <w:pgMar w:left="900" w:top="929" w:right="900" w:bottom="371" w:gutter="0" w:footer="0" w:header="0"/>
        </w:sectPr>
      </w:pPr>
    </w:p>
    <w:bookmarkStart w:id="23" w:name="page24"/>
    <w:bookmarkEnd w:id="23"/>
    <w:p>
      <w:pPr>
        <w:jc w:val="both"/>
        <w:ind w:right="400"/>
        <w:spacing w:after="0" w:line="259" w:lineRule="auto"/>
        <w:rPr>
          <w:sz w:val="20"/>
          <w:szCs w:val="20"/>
          <w:color w:val="auto"/>
        </w:rPr>
      </w:pPr>
      <w:r>
        <w:rPr>
          <w:rFonts w:ascii="Times New Roman" w:cs="Times New Roman" w:eastAsia="Times New Roman" w:hAnsi="Times New Roman"/>
          <w:sz w:val="20"/>
          <w:szCs w:val="20"/>
          <w:color w:val="auto"/>
        </w:rPr>
        <w:t>Participants were randomized three to one to verekitug or placebo. In the first six cohorts, verekitug was delivered via IV in ascending doses beginning at 0.03 mg/kg and ending at 10 mg/kg. The final cohort was a 1 mg/kg SC dose. Figure 6 below summarizes the Phase 1 SAD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153670</wp:posOffset>
            </wp:positionV>
            <wp:extent cx="5638165" cy="2293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extLst>
                        <a:ext uri="{28A0092B-C50C-407E-A947-70E740481C1C}"/>
                      </a:extLst>
                    </a:blip>
                    <a:srcRect/>
                    <a:stretch>
                      <a:fillRect/>
                    </a:stretch>
                  </pic:blipFill>
                  <pic:spPr bwMode="auto">
                    <a:xfrm>
                      <a:off x="0" y="0"/>
                      <a:ext cx="5638165" cy="2293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BMI, body mass index; IV, intravenous; PD, pharmacodynamics; PK, pharmacokinetics; R, randomization; SC, subcutaneous; ULN, upper limit of normal.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6: Trial design schematic for Phase 1 SAD trial</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 SAD clinical trial safety and tolerability data</w:t>
      </w:r>
    </w:p>
    <w:p>
      <w:pPr>
        <w:spacing w:after="0" w:line="1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auto"/>
        </w:rPr>
        <w:t>We presented the results from the Phase 1 SAD clinical trial of verekitug at the ATS International Conference in May 2023. The data showed a favorable tolerability profile at all dose levels in healthy participants.</w:t>
      </w:r>
    </w:p>
    <w:p>
      <w:pPr>
        <w:spacing w:after="0" w:line="169"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As summarized in Figure 7 below, treatment-emergent adverse events (“TEAEs”) were reported by 21 of 42 participants receiving verekitug (50%) and 3 of 14 (21%) participants receiving placebo. The majority of TEAEs were mild in severity and less than half of all reported TEAEs were considered to be related to the study drug. There was no clinically relevant increase in the frequency of TEAEs with the increase of dose. No drug-related serious TEAEs occurred during the study. One participant experienced a serious TEAE of nephrolithiasis which was deemed not related to the study drug by the investigator. The most frequently reported TEAEs were headache and dysmenorrhea (menstrual cramps).</w:t>
      </w:r>
    </w:p>
    <w:p>
      <w:pPr>
        <w:spacing w:after="0" w:line="200" w:lineRule="exact"/>
        <w:rPr>
          <w:sz w:val="20"/>
          <w:szCs w:val="20"/>
          <w:color w:val="auto"/>
        </w:rPr>
      </w:pPr>
    </w:p>
    <w:p>
      <w:pPr>
        <w:jc w:val="both"/>
        <w:ind w:right="460"/>
        <w:spacing w:after="0" w:line="258" w:lineRule="auto"/>
        <w:rPr>
          <w:sz w:val="20"/>
          <w:szCs w:val="20"/>
          <w:color w:val="auto"/>
        </w:rPr>
      </w:pPr>
      <w:r>
        <w:rPr>
          <w:rFonts w:ascii="Times New Roman" w:cs="Times New Roman" w:eastAsia="Times New Roman" w:hAnsi="Times New Roman"/>
          <w:sz w:val="20"/>
          <w:szCs w:val="20"/>
          <w:color w:val="auto"/>
        </w:rPr>
        <w:t>No clinically relevant trends in clinical laboratory analyses, including hematology, biochemistry and urinalysis, were seen. Additionally, there were no clinically relevant trends in vital signs, physical assessments or electrocardiograms (“ECGs”) detected. No injection site reactions were reported at the SC dose given in the final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10300"/>
          </w:cols>
          <w:pgMar w:left="900" w:top="929" w:right="1040" w:bottom="371" w:gutter="0" w:footer="0" w:header="0"/>
        </w:sectPr>
      </w:pPr>
    </w:p>
    <w:bookmarkStart w:id="24" w:name="page25"/>
    <w:bookmarkEnd w:id="24"/>
    <w:p>
      <w:pPr>
        <w:ind w:right="140"/>
        <w:spacing w:after="0" w:line="278" w:lineRule="auto"/>
        <w:rPr>
          <w:sz w:val="20"/>
          <w:szCs w:val="20"/>
          <w:color w:val="auto"/>
        </w:rPr>
      </w:pPr>
      <w:r>
        <w:rPr>
          <w:rFonts w:ascii="Times New Roman" w:cs="Times New Roman" w:eastAsia="Times New Roman" w:hAnsi="Times New Roman"/>
          <w:sz w:val="20"/>
          <w:szCs w:val="20"/>
          <w:color w:val="auto"/>
        </w:rPr>
        <w:t>ADAs were detected in 13 participants dosed with verekitug. Titers were low, less than 129, and the presence of ADAs did not significantly impact the serum PK profile in these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141605</wp:posOffset>
            </wp:positionV>
            <wp:extent cx="5779135" cy="2136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6">
                      <a:extLst>
                        <a:ext uri="{28A0092B-C50C-407E-A947-70E740481C1C}"/>
                      </a:extLst>
                    </a:blip>
                    <a:srcRect/>
                    <a:stretch>
                      <a:fillRect/>
                    </a:stretch>
                  </pic:blipFill>
                  <pic:spPr bwMode="auto">
                    <a:xfrm>
                      <a:off x="0" y="0"/>
                      <a:ext cx="5779135" cy="2136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Data indicated are number and percentage of subjects with specific TEAEs. Multiple occurrences of the same AE in the same subject are not reflected.</w:t>
      </w:r>
    </w:p>
    <w:p>
      <w:pPr>
        <w:spacing w:after="0" w:line="121" w:lineRule="exact"/>
        <w:rPr>
          <w:sz w:val="20"/>
          <w:szCs w:val="20"/>
          <w:color w:val="auto"/>
        </w:rPr>
      </w:pPr>
    </w:p>
    <w:p>
      <w:pPr>
        <w:ind w:left="80" w:hanging="73"/>
        <w:spacing w:after="0"/>
        <w:tabs>
          <w:tab w:leader="none" w:pos="80" w:val="left"/>
        </w:tabs>
        <w:numPr>
          <w:ilvl w:val="0"/>
          <w:numId w:val="14"/>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Defined as any adverse event that started or worsened in severity after dose of study drug through end of study.</w:t>
      </w:r>
    </w:p>
    <w:p>
      <w:pPr>
        <w:spacing w:after="0" w:line="119" w:lineRule="exact"/>
        <w:rPr>
          <w:rFonts w:ascii="Times New Roman" w:cs="Times New Roman" w:eastAsia="Times New Roman" w:hAnsi="Times New Roman"/>
          <w:sz w:val="8"/>
          <w:szCs w:val="8"/>
          <w:color w:val="auto"/>
        </w:rPr>
      </w:pPr>
    </w:p>
    <w:p>
      <w:pPr>
        <w:ind w:left="80" w:hanging="73"/>
        <w:spacing w:after="0"/>
        <w:tabs>
          <w:tab w:leader="none" w:pos="80" w:val="left"/>
        </w:tabs>
        <w:numPr>
          <w:ilvl w:val="0"/>
          <w:numId w:val="14"/>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Possible or probable, as assessed by the investigator or records where relationship was missing.</w:t>
      </w:r>
    </w:p>
    <w:p>
      <w:pPr>
        <w:spacing w:after="0" w:line="119" w:lineRule="exact"/>
        <w:rPr>
          <w:rFonts w:ascii="Times New Roman" w:cs="Times New Roman" w:eastAsia="Times New Roman" w:hAnsi="Times New Roman"/>
          <w:sz w:val="8"/>
          <w:szCs w:val="8"/>
          <w:color w:val="auto"/>
        </w:rPr>
      </w:pPr>
    </w:p>
    <w:p>
      <w:pPr>
        <w:ind w:right="900" w:firstLine="7"/>
        <w:spacing w:after="0" w:line="394" w:lineRule="auto"/>
        <w:tabs>
          <w:tab w:leader="none" w:pos="76" w:val="left"/>
        </w:tabs>
        <w:numPr>
          <w:ilvl w:val="0"/>
          <w:numId w:val="14"/>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Included serious adverse events upgraded by the sponsor based on review of the sponsor’s list of Always Serious terms, if any upgrade was done. IV, intravenous; SC, subcutaneous; SOC, System Organ Class (per MedDRA v18.1); TEAE, treatment-emergent adverse event.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7: Incidence of treatment-emergent adverse events by cohort</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 SAD clinical trial PK data</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the six IV cohorts, there was a linear and dose-proportional increase in maximum serum concentration (“C</w:t>
      </w:r>
      <w:r>
        <w:rPr>
          <w:rFonts w:ascii="Times New Roman" w:cs="Times New Roman" w:eastAsia="Times New Roman" w:hAnsi="Times New Roman"/>
          <w:sz w:val="12"/>
          <w:szCs w:val="12"/>
          <w:color w:val="auto"/>
        </w:rPr>
        <w:t>max</w:t>
      </w:r>
      <w:r>
        <w:rPr>
          <w:rFonts w:ascii="Times New Roman" w:cs="Times New Roman" w:eastAsia="Times New Roman" w:hAnsi="Times New Roman"/>
          <w:sz w:val="20"/>
          <w:szCs w:val="20"/>
          <w:color w:val="auto"/>
        </w:rPr>
        <w:t>”) and total drug exposure over time (area under the curve) over the 0.1-10 mg/kg dose range. The mean terminal half-life was approximately 20 days for the 1, 3 and 10 mg/kg IV dose groups.</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 xml:space="preserve">There was evidence of more rapid elimination of verekitug at serum concentrations below approximately 1.0 </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 xml:space="preserve">g/mL, which may be attributed to target mediated drug disposition. Target-mediated drug disposition occurs when a drug binds with such high affinity to its pharmacological target site, in this case TSLP receptor, that it affects its PK characteristics. The PK profile of verekitug was linear and dose-proportional at concentrations exceeding the conservatively estimated therapeutic threshold (1.0 </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g/mL). Figure 8 below illustrates the PK profiles for the six IV cohorts and one SC cohort in our Phase 1 SAD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1027430</wp:posOffset>
            </wp:positionH>
            <wp:positionV relativeFrom="paragraph">
              <wp:posOffset>160655</wp:posOffset>
            </wp:positionV>
            <wp:extent cx="4575810" cy="21253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extLst>
                    </a:blip>
                    <a:srcRect/>
                    <a:stretch>
                      <a:fillRect/>
                    </a:stretch>
                  </pic:blipFill>
                  <pic:spPr bwMode="auto">
                    <a:xfrm>
                      <a:off x="0" y="0"/>
                      <a:ext cx="4575810" cy="2125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80" w:hanging="73"/>
        <w:spacing w:after="0"/>
        <w:tabs>
          <w:tab w:leader="none" w:pos="80" w:val="left"/>
        </w:tabs>
        <w:numPr>
          <w:ilvl w:val="0"/>
          <w:numId w:val="15"/>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Projected conservative therapeutic threshold at time of study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8: Single dose PK profiles for six IV cohorts and one SC cohort</w:t>
      </w: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10300"/>
          </w:cols>
          <w:pgMar w:left="900" w:top="929" w:right="1040" w:bottom="371" w:gutter="0" w:footer="0" w:header="0"/>
        </w:sectPr>
      </w:pPr>
    </w:p>
    <w:bookmarkStart w:id="25" w:name="page26"/>
    <w:bookmarkEnd w:id="25"/>
    <w:p>
      <w:pPr>
        <w:ind w:right="40"/>
        <w:spacing w:after="0" w:line="235" w:lineRule="auto"/>
        <w:rPr>
          <w:sz w:val="20"/>
          <w:szCs w:val="20"/>
          <w:color w:val="auto"/>
        </w:rPr>
      </w:pPr>
      <w:r>
        <w:rPr>
          <w:rFonts w:ascii="Times New Roman" w:cs="Times New Roman" w:eastAsia="Times New Roman" w:hAnsi="Times New Roman"/>
          <w:sz w:val="20"/>
          <w:szCs w:val="20"/>
          <w:color w:val="auto"/>
        </w:rPr>
        <w:t xml:space="preserve">Data from the SC cohort showed the absolute bioavailability after a dose of 1 mg/kg of verekitug was approximately 70%. A PK model fitted to the single dose SC PK data was used to predict the PK profiles after repeat SC administration at different dose levels and dose intervals, as illustrated in Figure 9 below. The then-anticipated therapeutic threshold concentration (1.0 </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 xml:space="preserve">g/mL), conservatively estimated as a </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2"/>
          <w:szCs w:val="12"/>
          <w:color w:val="auto"/>
        </w:rPr>
        <w:t>2</w:t>
      </w:r>
      <w:r>
        <w:rPr>
          <w:rFonts w:ascii="Times New Roman" w:cs="Times New Roman" w:eastAsia="Times New Roman" w:hAnsi="Times New Roman"/>
          <w:sz w:val="20"/>
          <w:szCs w:val="20"/>
          <w:color w:val="auto"/>
        </w:rPr>
        <w:t xml:space="preserve">-log escalation from the 0.3 </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 xml:space="preserve">g/mL concentration derived from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pharmacology assays, was predicted to be maintained with a 12-week dosing interval.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167640</wp:posOffset>
            </wp:positionV>
            <wp:extent cx="4568190" cy="2184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a:extLst>
                        <a:ext uri="{28A0092B-C50C-407E-A947-70E740481C1C}"/>
                      </a:extLst>
                    </a:blip>
                    <a:srcRect/>
                    <a:stretch>
                      <a:fillRect/>
                    </a:stretch>
                  </pic:blipFill>
                  <pic:spPr bwMode="auto">
                    <a:xfrm>
                      <a:off x="0" y="0"/>
                      <a:ext cx="4568190" cy="218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0" w:hanging="73"/>
        <w:spacing w:after="0"/>
        <w:tabs>
          <w:tab w:leader="none" w:pos="80" w:val="left"/>
        </w:tabs>
        <w:numPr>
          <w:ilvl w:val="0"/>
          <w:numId w:val="16"/>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Projected conservative therapeutic threshold at time of study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9: Simulated PK profiles for repeated SC administration based on Phase 1 SAD clinical trial data</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1b MAD clinical trial design</w:t>
      </w:r>
    </w:p>
    <w:p>
      <w:pPr>
        <w:spacing w:after="0" w:line="12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We conducted a multicenter, randomized, double-blind, placebo-controlled Phase 1b MAD clinical trial of verekitug in asthma patients. The trial enrolled 32 adult participants aged 18 to 60 with mild to moderate asthma across four dosing cohorts. The primary objective of the study was to assess the safety and tolerability of verekitug. Secondary objectives included assessments of TSLP receptor occupancy, immunogenicity and PK, and exploratory objectives included assessments of PD.</w:t>
      </w:r>
    </w:p>
    <w:p>
      <w:pPr>
        <w:spacing w:after="0" w:line="19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Participants were randomized three to one verekitug to placebo. In the first two cohorts, participants were dosed subcutaneously every four weeks (q4w, three total doses) with 100 mg and 200 mg of verekitug, respectively. Participants in the third cohort were dosed subcutaneously with 300 mg every 12 weeks (q12w, two total doses). The final cohort was a single low dose of 25 mg subcutaneously. The 32-week trial included an observation period of up to 24 weeks after the last dose in the multi-dose cohorts. Figure 10 below summarizes this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160655</wp:posOffset>
            </wp:positionV>
            <wp:extent cx="5768975" cy="17005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9">
                      <a:extLst>
                        <a:ext uri="{28A0092B-C50C-407E-A947-70E740481C1C}"/>
                      </a:extLst>
                    </a:blip>
                    <a:srcRect/>
                    <a:stretch>
                      <a:fillRect/>
                    </a:stretch>
                  </pic:blipFill>
                  <pic:spPr bwMode="auto">
                    <a:xfrm>
                      <a:off x="0" y="0"/>
                      <a:ext cx="5768975" cy="170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PD, pharmacodynamics; PK, pharmacokinetics; SC, subcutaneous; PBO,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420"/>
          </w:cols>
          <w:pgMar w:left="900" w:top="929" w:right="920" w:bottom="371"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i w:val="1"/>
          <w:iCs w:val="1"/>
          <w:color w:val="auto"/>
        </w:rPr>
        <w:t>Figure 10: Trial design schematic for Phase 1b MAD trial</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Phase 1b MAD safety and tolerability data</w:t>
      </w:r>
    </w:p>
    <w:p>
      <w:pPr>
        <w:spacing w:after="0" w:line="12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20"/>
          <w:szCs w:val="20"/>
          <w:color w:val="auto"/>
        </w:rPr>
        <w:t>Similar to the Phase 1 SAD clinical trial, the data from the Phase 1b MAD clinical trial showed a favorable tolerability profile for verekitug at all dose levels.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summarized in Figure 11 below, TEAEs were reported by 21 of 24 (87.5%) participants receiving verekitug and 7 of 8</w:t>
      </w:r>
    </w:p>
    <w:p>
      <w:pPr>
        <w:spacing w:after="0" w:line="28"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(87.5%) patients receiving placebo. TEAEs were mild to moderate in severity with no severe TEAEs reported. Over 90% of the TEAEs were deemed unrelated to study drug. There were no reported serious TEAEs and there were no withdrawals from the trial or treatment discontinuations due to TEAEs. The most frequently reported TEAE was headache. Several participants had mild, short-lived and self-limited injection site reactions; none were reported as an adverse event.</w:t>
      </w:r>
    </w:p>
    <w:p>
      <w:pPr>
        <w:spacing w:after="0" w:line="200"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0"/>
          <w:szCs w:val="20"/>
          <w:color w:val="auto"/>
        </w:rPr>
        <w:t>There were no clinically relevant trends observed in clinical laboratory analyses, including hematology, biochemistry and urinalysis. Additionally, there were no clinically relevant trends in vital signs, physical assessments or ECGs were observed. There was no clinically relevant immunogenicity observed in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155575</wp:posOffset>
            </wp:positionV>
            <wp:extent cx="5765800" cy="1866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0">
                      <a:extLst>
                        <a:ext uri="{28A0092B-C50C-407E-A947-70E740481C1C}"/>
                      </a:extLst>
                    </a:blip>
                    <a:srcRect/>
                    <a:stretch>
                      <a:fillRect/>
                    </a:stretch>
                  </pic:blipFill>
                  <pic:spPr bwMode="auto">
                    <a:xfrm>
                      <a:off x="0" y="0"/>
                      <a:ext cx="5765800" cy="186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11: Treatment emergent adverse events observed in Phase 1b MAD clinical trial</w:t>
      </w:r>
    </w:p>
    <w:p>
      <w:pPr>
        <w:spacing w:after="0" w:line="358" w:lineRule="exact"/>
        <w:rPr>
          <w:sz w:val="20"/>
          <w:szCs w:val="20"/>
          <w:color w:val="auto"/>
        </w:rPr>
      </w:pPr>
    </w:p>
    <w:p>
      <w:pPr>
        <w:ind w:right="6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PK/PD data demonstrated substantial and sustained receptor occupancy and biomarker suppression, supporting dosing intervals of up to q24w</w:t>
      </w:r>
    </w:p>
    <w:p>
      <w:pPr>
        <w:spacing w:after="0" w:line="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observed a desirable pharmacokinetics profile for verekitug that is supportive of extended dosing intervals up to every 24 weeks. In the first three cohorts, there was a dose-dependent increase in verekitug exposure with increasing dose levels across 100 mg q4w (three total doses), 200 mg dosed q4w (three total doses) and 300 mg dosed q12w (two total doses). However, given serum concentrations for the first three cohorts remained above the projected therapeutic threshold, a single dose administration (25 mg) cohort was included to generate data in support of PK/PD.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440"/>
          </w:cols>
          <w:pgMar w:left="900" w:top="931" w:right="900" w:bottom="371" w:gutter="0" w:footer="0" w:header="0"/>
        </w:sectPr>
      </w:pPr>
    </w:p>
    <w:bookmarkStart w:id="27" w:name="page28"/>
    <w:bookmarkEnd w:id="27"/>
    <w:p>
      <w:pPr>
        <w:ind w:right="120"/>
        <w:spacing w:after="0" w:line="278" w:lineRule="auto"/>
        <w:rPr>
          <w:sz w:val="20"/>
          <w:szCs w:val="20"/>
          <w:color w:val="auto"/>
        </w:rPr>
      </w:pPr>
      <w:r>
        <w:rPr>
          <w:rFonts w:ascii="Times New Roman" w:cs="Times New Roman" w:eastAsia="Times New Roman" w:hAnsi="Times New Roman"/>
          <w:sz w:val="20"/>
          <w:szCs w:val="20"/>
          <w:color w:val="auto"/>
        </w:rPr>
        <w:t>As shown in Figure 12, observed mean serum concentrations from the Phase 1b MAD study replicated the modeled PK from the Phase 1 SAD clinical trial in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1028700</wp:posOffset>
            </wp:positionH>
            <wp:positionV relativeFrom="paragraph">
              <wp:posOffset>141605</wp:posOffset>
            </wp:positionV>
            <wp:extent cx="4572000" cy="2915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a:extLst>
                        <a:ext uri="{28A0092B-C50C-407E-A947-70E740481C1C}"/>
                      </a:extLst>
                    </a:blip>
                    <a:srcRect/>
                    <a:stretch>
                      <a:fillRect/>
                    </a:stretch>
                  </pic:blipFill>
                  <pic:spPr bwMode="auto">
                    <a:xfrm>
                      <a:off x="0" y="0"/>
                      <a:ext cx="4572000"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Symbols: observed mean values from Phase 1b MAD study; Solid lines: predicted PK from Phase 1 SAD clinical trial in healthy volunteers; LLOQ: lower limit of PK quantification</w:t>
      </w:r>
    </w:p>
    <w:p>
      <w:pPr>
        <w:spacing w:after="0" w:line="62"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20"/>
          <w:szCs w:val="20"/>
          <w:i w:val="1"/>
          <w:iCs w:val="1"/>
          <w:color w:val="auto"/>
        </w:rPr>
        <w:t>Figure 12: Post-dose serum concentration of verekitug for each Phase 1b MAD cohort, overlayed with PK model based on Phase 1 SAD trial data</w:t>
      </w:r>
    </w:p>
    <w:p>
      <w:pPr>
        <w:spacing w:after="0" w:line="17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We demonstrated that dosing with verekitug led to rapid and complete TSLP receptor occupancy and reductions in FeNO and eos that were rapid, substantial and sustained for up to 24 weeks after last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420"/>
          </w:cols>
          <w:pgMar w:left="900" w:top="929" w:right="920" w:bottom="371" w:gutter="0" w:footer="0" w:header="0"/>
        </w:sectPr>
      </w:pPr>
    </w:p>
    <w:bookmarkStart w:id="28" w:name="page29"/>
    <w:bookmarkEnd w:id="28"/>
    <w:p>
      <w:pPr>
        <w:spacing w:after="0" w:line="237" w:lineRule="exact"/>
        <w:rPr>
          <w:sz w:val="20"/>
          <w:szCs w:val="20"/>
          <w:color w:val="auto"/>
        </w:rPr>
      </w:pPr>
      <w:r>
        <w:rPr>
          <w:rFonts w:ascii="Times New Roman" w:cs="Times New Roman" w:eastAsia="Times New Roman" w:hAnsi="Times New Roman"/>
          <w:sz w:val="20"/>
          <w:szCs w:val="20"/>
          <w:color w:val="auto"/>
        </w:rPr>
        <w:t xml:space="preserve">The pharmacodynamics of verekitug were assessed over the 32-week observation period by measuring TSLP receptor occupancy in CD14+ monocytes. As summarized in Figure 13 below, the first three cohorts (verekitug doses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100 mg) had substantial occupancy through the end of the observation period. The fourth single low dose cohort, added to interrogate the minimal concentration required to maintain full receptor saturation, produced substantial occupancy for 12 to 16 weeks supporting the high potency of verekitug at low doses. All cohorts demonstrated 100% TSLP receptor occupancy by verekitug within two weeks after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1029970</wp:posOffset>
            </wp:positionH>
            <wp:positionV relativeFrom="paragraph">
              <wp:posOffset>165100</wp:posOffset>
            </wp:positionV>
            <wp:extent cx="4569460" cy="2936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2">
                      <a:extLst>
                        <a:ext uri="{28A0092B-C50C-407E-A947-70E740481C1C}"/>
                      </a:extLst>
                    </a:blip>
                    <a:srcRect/>
                    <a:stretch>
                      <a:fillRect/>
                    </a:stretch>
                  </pic:blipFill>
                  <pic:spPr bwMode="auto">
                    <a:xfrm>
                      <a:off x="0" y="0"/>
                      <a:ext cx="4569460" cy="293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13: Percent of free TSLP receptors for each Phase 1b MAD cohort compared to placebo over 32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400"/>
          </w:cols>
          <w:pgMar w:left="900" w:top="929" w:right="940" w:bottom="371" w:gutter="0" w:footer="0" w:header="0"/>
        </w:sectPr>
      </w:pPr>
    </w:p>
    <w:bookmarkStart w:id="29" w:name="page30"/>
    <w:bookmarkEnd w:id="29"/>
    <w:p>
      <w:pPr>
        <w:spacing w:after="0" w:line="237" w:lineRule="exact"/>
        <w:rPr>
          <w:sz w:val="20"/>
          <w:szCs w:val="20"/>
          <w:color w:val="auto"/>
        </w:rPr>
      </w:pPr>
      <w:r>
        <w:rPr>
          <w:rFonts w:ascii="Times New Roman" w:cs="Times New Roman" w:eastAsia="Times New Roman" w:hAnsi="Times New Roman"/>
          <w:sz w:val="20"/>
          <w:szCs w:val="20"/>
          <w:color w:val="auto"/>
        </w:rPr>
        <w:t xml:space="preserve">As shown in Figures 14 and 15 below, reductions in blood eos and FeNO levels were rapid, substantial and sustained. Additionally, these key disease-related biomarkers remained below baseline in all cohorts receiving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100 mg of verekitug through the 32-week observation period, up to 24 weeks past the last dose. In the single low dose cohort, blood eos and FeNO levels remained below baseline for 18 and 20 weeks of observation, respectively. The loss of the suppression of biomarkers in this cohort, which occurred shortly after the loss of receptor saturation, allowed determination of the minimal concentration required for the efficacy of verekitug.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165100</wp:posOffset>
            </wp:positionV>
            <wp:extent cx="5764530" cy="3234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extLst>
                    </a:blip>
                    <a:srcRect/>
                    <a:stretch>
                      <a:fillRect/>
                    </a:stretch>
                  </pic:blipFill>
                  <pic:spPr bwMode="auto">
                    <a:xfrm>
                      <a:off x="0" y="0"/>
                      <a:ext cx="5764530" cy="323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14: Levels of blood eosinophils compared to baseline for each cohort in Phase 1b MAD trial over 32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186690</wp:posOffset>
            </wp:positionV>
            <wp:extent cx="5760720" cy="33921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4">
                      <a:extLst>
                        <a:ext uri="{28A0092B-C50C-407E-A947-70E740481C1C}"/>
                      </a:extLst>
                    </a:blip>
                    <a:srcRect/>
                    <a:stretch>
                      <a:fillRect/>
                    </a:stretch>
                  </pic:blipFill>
                  <pic:spPr bwMode="auto">
                    <a:xfrm>
                      <a:off x="0" y="0"/>
                      <a:ext cx="5760720" cy="3392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100"/>
          </w:cols>
          <w:pgMar w:left="900" w:top="929" w:right="1240" w:bottom="371" w:gutter="0" w:footer="0" w:header="0"/>
        </w:sectPr>
      </w:pPr>
    </w:p>
    <w:bookmarkStart w:id="30" w:name="page31"/>
    <w:bookmarkEnd w:id="30"/>
    <w:p>
      <w:pPr>
        <w:ind w:right="220"/>
        <w:spacing w:after="0" w:line="276" w:lineRule="auto"/>
        <w:rPr>
          <w:sz w:val="20"/>
          <w:szCs w:val="20"/>
          <w:color w:val="auto"/>
        </w:rPr>
      </w:pPr>
      <w:r>
        <w:rPr>
          <w:rFonts w:ascii="Times New Roman" w:cs="Times New Roman" w:eastAsia="Times New Roman" w:hAnsi="Times New Roman"/>
          <w:sz w:val="20"/>
          <w:szCs w:val="20"/>
          <w:i w:val="1"/>
          <w:iCs w:val="1"/>
          <w:color w:val="auto"/>
        </w:rPr>
        <w:t>Figure 15: Levels of fraction of exhaled nitric oxide (right column) compared to baseline for each cohort in the Phase 1b MAD trial over 32 weeks</w:t>
      </w:r>
    </w:p>
    <w:p>
      <w:pPr>
        <w:spacing w:after="0" w:line="17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Patients receiving verekitug doses of 100 mg or greater experienced reductions in blood eos of up to 52% and FeNO reductions of up to 49% at 32 weeks. As seen in Figure 16 below, at week 12, the change from baseline in blood eos was -164 cells/</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l for cohort 1, -204 cells/</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l for cohort 2, and -77 cells/</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l for cohort 3. Of note, cohort 3 had a lower baseline value for blood eos which may affect the absolute value change from baseline. For context, dupilumab has been observed to increase blood eos by approximately 30%, whereas mepolizumab (an eosinophil depleter) has been observed to reduce blood eos by 84%. In these same patients, the change from baseline in FeNO at week 12 was -28 ppb (a -54% change from baseline) for cohort 1, -47 ppb (a -51% change from baseline) for cohort 2 and -37 ppb (a -51% change from baseline) for cohort 3. The Phase 2 and 3 trials of tezepelumab in severe asthma reported a less substantial effect on FeNO, with a change from baseline in FeNO at week 12 of -17 ppb (a -25% change from baseline). Dupilumab’s effect on FeNO was observed to be similar to that of tezepelumab, at an approximately -27% change from baseline, whereas mepolizumab was observed to have no effect on FeNO. These data are presented for reference purposes only and do not represent results of head-to-head comparative studies among these product candidates or relative to verekitug. Differences exist between trial designs, subject characteristics and timing of data, and caution should be exercised when comparing data across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164465</wp:posOffset>
            </wp:positionV>
            <wp:extent cx="5711190" cy="2132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5">
                      <a:extLst>
                        <a:ext uri="{28A0092B-C50C-407E-A947-70E740481C1C}"/>
                      </a:extLst>
                    </a:blip>
                    <a:srcRect/>
                    <a:stretch>
                      <a:fillRect/>
                    </a:stretch>
                  </pic:blipFill>
                  <pic:spPr bwMode="auto">
                    <a:xfrm>
                      <a:off x="0" y="0"/>
                      <a:ext cx="5711190" cy="213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pharmacodynamic population, data collected after the dosing pause were excluded (n=2 in 100 mg cohort after Week 8 and n=2 mg cohort after Week 4).</w:t>
      </w:r>
    </w:p>
    <w:p>
      <w:pPr>
        <w:spacing w:after="0" w:line="121" w:lineRule="exact"/>
        <w:rPr>
          <w:sz w:val="20"/>
          <w:szCs w:val="20"/>
          <w:color w:val="auto"/>
        </w:rPr>
      </w:pPr>
    </w:p>
    <w:p>
      <w:pPr>
        <w:ind w:left="80" w:hanging="73"/>
        <w:spacing w:after="0"/>
        <w:tabs>
          <w:tab w:leader="none" w:pos="80" w:val="left"/>
        </w:tabs>
        <w:numPr>
          <w:ilvl w:val="0"/>
          <w:numId w:val="17"/>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Data from the placebo groups in all cohorts were pooled for analysis.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FeNo, fractional exhaled nitric oxide; q4w, every 4 weeks; q12, every 12 weeks; SEM, standard error of mean.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420"/>
          </w:cols>
          <w:pgMar w:left="900" w:top="1207" w:right="920" w:bottom="371"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i w:val="1"/>
          <w:iCs w:val="1"/>
          <w:color w:val="auto"/>
        </w:rPr>
        <w:t>Figure 16: Percent change from baseline through 32 weeks in eosinophils (left) and fraction of exhaled nitric oxide (right)</w:t>
      </w:r>
    </w:p>
    <w:p>
      <w:pPr>
        <w:spacing w:after="0" w:line="23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PK/PD modeling of the data generated in the Phase 1b MAD trial, as summarized in Figure 17 below, provides clinical proof-of-concept that verekitug has high potency in asthma patients. In particular, the potency of verekitug as assessed by suppression of FeNO is substantially greater than that reported for tezepelumab. Indeed, the half-maximal effective concentration (“EC</w:t>
      </w:r>
      <w:r>
        <w:rPr>
          <w:rFonts w:ascii="Times New Roman" w:cs="Times New Roman" w:eastAsia="Times New Roman" w:hAnsi="Times New Roman"/>
          <w:sz w:val="20"/>
          <w:szCs w:val="20"/>
          <w:color w:val="auto"/>
          <w:vertAlign w:val="subscript"/>
        </w:rPr>
        <w:t>50</w:t>
      </w:r>
      <w:r>
        <w:rPr>
          <w:rFonts w:ascii="Times New Roman" w:cs="Times New Roman" w:eastAsia="Times New Roman" w:hAnsi="Times New Roman"/>
          <w:sz w:val="20"/>
          <w:szCs w:val="20"/>
          <w:color w:val="auto"/>
        </w:rPr>
        <w:t xml:space="preserve"> ”) of verekitug, 0.008 </w:t>
      </w:r>
      <w:r>
        <w:rPr>
          <w:rFonts w:ascii="Times New Roman" w:cs="Times New Roman" w:eastAsia="Times New Roman" w:hAnsi="Times New Roman"/>
          <w:sz w:val="20"/>
          <w:szCs w:val="20"/>
          <w:color w:val="auto"/>
        </w:rPr>
        <w:t>μ</w:t>
      </w:r>
      <w:r>
        <w:rPr>
          <w:rFonts w:ascii="Times New Roman" w:cs="Times New Roman" w:eastAsia="Times New Roman" w:hAnsi="Times New Roman"/>
          <w:sz w:val="20"/>
          <w:szCs w:val="20"/>
          <w:color w:val="auto"/>
        </w:rPr>
        <w:t>g/ml is 300-fold lower than that of tezepelumab, an anti-TSLP ligand antibody approved for use in severe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160655</wp:posOffset>
            </wp:positionV>
            <wp:extent cx="4885055" cy="14560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6">
                      <a:extLst>
                        <a:ext uri="{28A0092B-C50C-407E-A947-70E740481C1C}"/>
                      </a:extLst>
                    </a:blip>
                    <a:srcRect/>
                    <a:stretch>
                      <a:fillRect/>
                    </a:stretch>
                  </pic:blipFill>
                  <pic:spPr bwMode="auto">
                    <a:xfrm>
                      <a:off x="0" y="0"/>
                      <a:ext cx="4885055" cy="145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7"/>
        <w:spacing w:after="0" w:line="276" w:lineRule="auto"/>
        <w:tabs>
          <w:tab w:leader="none" w:pos="76" w:val="left"/>
        </w:tabs>
        <w:numPr>
          <w:ilvl w:val="0"/>
          <w:numId w:val="18"/>
        </w:numPr>
        <w:rPr>
          <w:rFonts w:ascii="Times New Roman" w:cs="Times New Roman" w:eastAsia="Times New Roman" w:hAnsi="Times New Roman"/>
          <w:sz w:val="8"/>
          <w:szCs w:val="8"/>
          <w:color w:val="auto"/>
        </w:rPr>
      </w:pPr>
      <w:r>
        <w:rPr>
          <w:rFonts w:ascii="Times New Roman" w:cs="Times New Roman" w:eastAsia="Times New Roman" w:hAnsi="Times New Roman"/>
          <w:sz w:val="16"/>
          <w:szCs w:val="16"/>
          <w:color w:val="auto"/>
        </w:rPr>
        <w:t>No head-to-head clinical studies have been conducted. Differences exist between modeled data and trial design, and caution should be exercised when comparing data across studies.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17: Maximal, 50% and 90% effective concentrations of verekitug</w:t>
      </w:r>
    </w:p>
    <w:p>
      <w:pPr>
        <w:spacing w:after="0" w:line="23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Data from the Phase 1 SAD and Phase 1b MAD clinical trials enabled for further PK simulations of verekitug to determine the doses for a Phase 2 clinical trial, as shown in Figure 18 below. Doses of 100 mg q12w SC and 400 mg SC every 24 weeks (q24w) were projected to sustain serum concentrations of verekitug above the MAD-derived FeNO EC</w:t>
      </w:r>
      <w:r>
        <w:rPr>
          <w:rFonts w:ascii="Times New Roman" w:cs="Times New Roman" w:eastAsia="Times New Roman" w:hAnsi="Times New Roman"/>
          <w:sz w:val="12"/>
          <w:szCs w:val="12"/>
          <w:color w:val="auto"/>
        </w:rPr>
        <w:t>90</w:t>
      </w:r>
      <w:r>
        <w:rPr>
          <w:rFonts w:ascii="Times New Roman" w:cs="Times New Roman" w:eastAsia="Times New Roman" w:hAnsi="Times New Roman"/>
          <w:sz w:val="20"/>
          <w:szCs w:val="20"/>
          <w:color w:val="auto"/>
        </w:rPr>
        <w:t xml:space="preserve"> of 0.07 mg/L that was established in the MAD study for the entirely of the dosing interval, including at trough. For this reason, these doses were tested in our Phase 2 trial in severe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160655</wp:posOffset>
            </wp:positionV>
            <wp:extent cx="5768975" cy="20427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extLst>
                    </a:blip>
                    <a:srcRect/>
                    <a:stretch>
                      <a:fillRect/>
                    </a:stretch>
                  </pic:blipFill>
                  <pic:spPr bwMode="auto">
                    <a:xfrm>
                      <a:off x="0" y="0"/>
                      <a:ext cx="5768975" cy="2042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Figure 18: PK simulations of verekitug. Solid line = median, Shadow = 5-95 percentile prediction range</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Japan PK trial</w:t>
      </w:r>
    </w:p>
    <w:p>
      <w:pPr>
        <w:spacing w:after="0" w:line="11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We also completed a third Phase 1 clinical trial of verekitug to support clinical development in Japan and other Asian countries. This study was an open-label, single dose, randomized PK and safety study to enable a comparison of verekitug’s profile in Japanese vs. non-Japanese/non-East Asian participants. The study enrolled 32 healthy adult volunteers with eight participants in each of four treatment groups. Three cohorts (100 mg, 200 mg, 300 mg dose) were enrolled with Japanese participants and the fourth cohort enrolled solely non-Japanese/non-East Asian participants. The study showed a comparable verekitug PK profile between the two groups.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420"/>
          </w:cols>
          <w:pgMar w:left="900" w:top="931" w:right="920" w:bottom="371"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clinical results</w:t>
      </w:r>
    </w:p>
    <w:p>
      <w:pPr>
        <w:spacing w:after="0" w:line="12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To date, verekitug has demonstrated a favorable tolerability profile and unique pharmacology that is consistent across preclinical and clinical studies. The high potency seen in preclinical studies, which were not designed to support formal statistical comparisons, has accompanied clinical evidence of rapid and complete TSLP receptor occupancy, and reductions in disease-associated biomarkers, including FeNO and eos, that were rapid, substantial and sustained for up to 24 weeks after the last dose. These Phase 1 data underpinned our clinical development strategy for verekitug in severe asthma, CRSwNP, and COPD and supported our Phase 2 trial designs investigating 12- and 24-week dosing.</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Phase 2 clinical trials</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have completed one Phase 2 clinical trial of verekitug for the treatment of CRSwNP (VIBRANT) and a separate Phase 2 clinical trial of verekitug for the treatment of severe asthma (VALIANT). In May 2025, we initiated a Phase 2 long-term extension study (VALOUR) in eligible participants with severe asthma who completed the VALIANT Phase 2 clinical trial, and in July 2025 we initiated a Phase 2 clinical trial of verekitug for the treatment of COPD (VENTURE). Based on available data from the VALIANT and VIBRANT Phase 2 trials and analysis from approximately 500 participants treated with verekitug across our five completed Phase 1 and 2 clinical trials, we plan to initiate dosing in Phase 3 trials in both severe asthma and CRSwNP in the first quarter of 2027, prioritizing a Phase 3 development strategy that focuses on maximizing efficacy in both indications, without biomarker restriction, and with quarterly at-home administration.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Severe asthma</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February 2026, we announced positive top-line data from the Phase 2 global, randomized, double-blind, placebo-controlled, dose-ranging, parallel group VALIANT clinical trial (NCT06196879) that evaluated the safety and efficacy of verekitug for up to 60 weeks, with a minimum of 24 weeks of treatment, in 478 adults with severe asthma. Participants were randomized into one of four groups, receiving either 100 mg of verekitug every 24 weeks (“q24w”), 400 mg of verekitug q24w, 100 mg of verekitug every 12 weeks (“q12w”), or placebo administered subcutaneously. The primary endpoint was a reduction of the AAER. Secondary endpoints included changes in air exhalation, nitric oxide exhalation, and a patient-reported assessment of asthma control, though these endpoints were not designed with sufficient power to detect statistically significant effects.</w:t>
      </w:r>
    </w:p>
    <w:p>
      <w:pPr>
        <w:spacing w:after="0" w:line="189"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The trial met its primary endpoint of a statistically significant and clinically meaningful reduction in AAER with both q12w and q24w dosing, with verekitug demonstrating a reduction in AAER of 56% (p&lt;0.0003) when dosed at 100 mg q12w and 39% (p&lt;0.02) when dosed at 400 mg q24w, as compared with placebo.</w:t>
      </w:r>
    </w:p>
    <w:p>
      <w:pPr>
        <w:spacing w:after="0" w:line="17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Placebo-adjusted improvement in lung function, as measured by the forced expiratory volume in one second (“FEV1”), was 122 mL at week 60 with verekitug 100 mg q12w, and 139 mL at week 60 with 400 mg q24w. At week 60, verekitug also suppressed FeNO compared to placebo by 20.4 ppb (p&lt;0.0003) when dosed at 100 mg q12w, and by 26.3 ppb (p&lt;0.0001) when dosed at 400 mg q24w. These data represented a mean 43.5% (p=0.03) reduction from baseline in the 100 mg q12w group and a mean 44.9% (p=0.03) reduction from baseline in the 400mg q24w group. A third low-dose treatment group, 100 mg q24w, demonstrated a statistically significant effect on AAER, but did not provide consistent improvements in other endpoints.</w:t>
      </w:r>
    </w:p>
    <w:p>
      <w:pPr>
        <w:spacing w:after="0" w:line="189" w:lineRule="exact"/>
        <w:rPr>
          <w:sz w:val="20"/>
          <w:szCs w:val="20"/>
          <w:color w:val="auto"/>
        </w:rPr>
      </w:pPr>
    </w:p>
    <w:p>
      <w:pPr>
        <w:jc w:val="both"/>
        <w:ind w:right="880"/>
        <w:spacing w:after="0" w:line="278" w:lineRule="auto"/>
        <w:rPr>
          <w:sz w:val="20"/>
          <w:szCs w:val="20"/>
          <w:color w:val="auto"/>
        </w:rPr>
      </w:pPr>
      <w:r>
        <w:rPr>
          <w:rFonts w:ascii="Times New Roman" w:cs="Times New Roman" w:eastAsia="Times New Roman" w:hAnsi="Times New Roman"/>
          <w:sz w:val="20"/>
          <w:szCs w:val="20"/>
          <w:color w:val="auto"/>
        </w:rPr>
        <w:t>Additional pre-specified analyses of secondary outcomes at week 24 revealed statistically significant placebo-adjusted improvements compared to baseline in both FEV1 and FeNO with the 100 mg q12w and 400 mg q24w dose regimens.</w:t>
      </w:r>
    </w:p>
    <w:p>
      <w:pPr>
        <w:spacing w:after="0" w:line="15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color w:val="auto"/>
        </w:rPr>
        <w:t>Verekitug was generally well tolerated across all active doses, demonstrating a favorable safety profile consistent with previous studies.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CRSwNP</w:t>
      </w:r>
    </w:p>
    <w:p>
      <w:pPr>
        <w:spacing w:after="0" w:line="23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September 2025, we released top-line data from the Phase 2, global, randomized, double-blind, placebo-controlled, parallel group VIBRANT trial (NCT06164704) that evaluated the efficacy and safety of verekitug over 24 weeks in 81 adults with CRSwNP. Participants received either 100 mg of verekitug or placebo subcutaneously every 12 weeks for 24 weeks. The primary endpoint was change in endoscopic nasal polyp score at Week 24, a primary endpoint that has been used in several registrational trials for other biologic treatments for CRSwNP. Secondary endpoints included: nasal congestion score, sinus opacification, difficulty with sense of smell, total symptom score, percentage of participants requiring systemic corticosteroids or nasal polyp surgery, and time to first such interventions up to Week 24.</w:t>
      </w:r>
    </w:p>
    <w:p>
      <w:pPr>
        <w:spacing w:after="0" w:line="190"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Over the 24-week treatment period, verekitug, dosed 100 mg every 12 weeks, met the primary endpoint and key secondary endpoints, demonstrating statistically significant and clinically meaningful reductions in both endoscopic nasal polyp score</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380"/>
          </w:cols>
          <w:pgMar w:left="900" w:top="929" w:right="960" w:bottom="371" w:gutter="0" w:footer="0" w:header="0"/>
        </w:sectPr>
      </w:pPr>
    </w:p>
    <w:bookmarkStart w:id="33" w:name="page34"/>
    <w:bookmarkEnd w:id="33"/>
    <w:p>
      <w:pPr>
        <w:spacing w:after="0" w:line="249" w:lineRule="auto"/>
        <w:rPr>
          <w:sz w:val="20"/>
          <w:szCs w:val="20"/>
          <w:color w:val="auto"/>
        </w:rPr>
      </w:pPr>
      <w:r>
        <w:rPr>
          <w:rFonts w:ascii="Times New Roman" w:cs="Times New Roman" w:eastAsia="Times New Roman" w:hAnsi="Times New Roman"/>
          <w:sz w:val="20"/>
          <w:szCs w:val="20"/>
          <w:color w:val="auto"/>
        </w:rPr>
        <w:t>(“NPS”) and nasal congestion score (“NCS”), with a generally well tolerated safety profile consistent with previous studies. Treatment with verekitug also resulted in a significant reduction in the need for surgery or systemic corticosteroids. The trial met its primary endpoint, demonstrating a statistically significant and clinically meaningful, placebo-adjusted reduction in NPS of -1.8 (p&lt;0.0001) at Week 24 compared with baseline. The trial also showed a meaningful placebo-adjusted reduction from baseline in the patient-reported NCS, a key secondary endpoint, by -0.8 (p=0.0003).</w:t>
      </w:r>
    </w:p>
    <w:p>
      <w:pPr>
        <w:spacing w:after="0" w:line="18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auto"/>
        </w:rPr>
        <w:t>Significant improvements were also observed in other key secondary endpoints, including sinus opacification as measured by the Lund-Mackay score, reduction in the need for either systemic corticosteroids or nasal polyp surgery, and total symptom score.</w:t>
      </w:r>
    </w:p>
    <w:p>
      <w:pPr>
        <w:spacing w:after="0" w:line="157"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color w:val="auto"/>
        </w:rPr>
        <w:t>Verekitug was generally well tolerated, demonstrating a favorable safety profile consistent with previous studies, with no serious adverse events observed.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COPD</w:t>
      </w:r>
    </w:p>
    <w:p>
      <w:pPr>
        <w:spacing w:after="0" w:line="23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In July 2025, we announced dosing of the first patient in the Phase 2 multicenter, randomized, double-blind, placebo-controlled, parallel group VENTURE clinical trial (NCT06981078) designed to assess the efficacy and safety of verekitug in approximately 670 adults with moderate-to-severe COPD. Participants are randomized to receive verekitug at doses of 100 mg once every 12 weeks, 400 mg once every 24 weeks, or placebo, over treatment periods of between 60 weeks and up to 108 weeks. The primary analysis population includes patients with elevated eos. Subjects are randomized 1:1:1 to receive verekitug at doses of 100 mg q12w, 400 mg q24w and placebo administered SC. Given verekitug’s potency, we are also enrolling a subset of patients without elevated eos at baseline to explore the potential for efficacy in this expanded population.</w:t>
      </w:r>
    </w:p>
    <w:p>
      <w:pPr>
        <w:spacing w:after="0" w:line="19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Aligned with recent registrational trials of biologics in this condition, the primary endpoint of the study is the annualized rate of moderate or severe COPD exacerbations. Secondary endpoints include changes in participants’ day-to-day symptoms as well as measures of lung function, such as forced expiratory volume in one second. We have designed this trial using endpoints that, pending interactions with regulatory authorities, could allow data from this trial to support submissions for product approval.</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Future opportunities</w:t>
      </w:r>
    </w:p>
    <w:p>
      <w:pPr>
        <w:spacing w:after="0" w:line="124"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Research has shown TSLP to be either a risk factor for or a key driver of inflammatory diseases across several therapeutic areas, including respiratory, gastroenterology, dermatology, nephrology and allergy/immunology. Thus, we believe there is a significant opportunity to expand the impact of verekitug beyond severe respiratory diseases, including dermatology (e.g., atopic dermatitis) and gastroenterology. For example, other TSLP pathway-directed biologics are pursuing indications such as chronic urticaria, bullous pemphigoid, chronic pruritis and eosinophilic esophagitis. In parallel to conducting our own preclinical work in target indications, we will carefully monitor the results of these trials which have the potential to inform our selection of future indications for verekitug.</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12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current strategy is to outsource all manufacturing of verekitug or any other potential future product candidates to third parties. We leverage third-party manufacturers to support the manufacturing of verekitug for clinical trials and, if we receive regulatory approval, we intend to rely on such third parties for commercial manufacture. We have manufactured sufficient supply for our ongoing Phase 2 COPD trial. We do not own or operate any manufacturing facilities for the production of clinical or commercial quantities of verekitug or any other potential future product candidates. We believe this strategy will enable us to maintain a nimble, efficient and effective working model without making significant internal capital investments. We currently obtain our supplies from these manufacturers on a purchase order basis and do not have any long-term supply agreements in place. In order to de-risk our supply chain, and as we advance toward potential commercialization, we intend to enter into long-term supply agreements as well as evaluate additional product manufacturing sources.</w:t>
      </w:r>
    </w:p>
    <w:p>
      <w:pPr>
        <w:spacing w:after="0" w:line="20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9"/>
          <w:szCs w:val="19"/>
          <w:color w:val="auto"/>
        </w:rPr>
        <w:t>We rely, and expect to continue to rely, on third-party manufacturers to provide all of the active pharmaceutical ingredients and the final drug product formulation of verekitug that is being used in our clinical trials and preclinical studies in compliance with FDA and other foreign regulatory requirements, and on contract development and manufacturing organizations (“CDMOs”) to manufacture and supply our preclinical and clinical materials. We have made technical development a major focus of our efforts and have worked to improve the formulation and manufacturing process in place at the time of our acquisition of verekitug in 2021. This effort has resulted in a greater than 6-fold improvement in the concentration of the formulation of verekitug, from 30 mg/mL to 200 mg/mL, which enabled the ability to employ both a 0.5mL (100 mg) and a 2.0mL (400 mg) SC injection in our severe asthma Phase 2 clinical trial. These 0.5mL and 2.0mL injection volumes are comparable to or smaller than those of other biologics approved for the treatment of severe asthma, including tezepelumab (1.91mL), dupilumab (2.0mL) and mepolizumab</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420"/>
          </w:cols>
          <w:pgMar w:left="900" w:top="929" w:right="920" w:bottom="371" w:gutter="0" w:footer="0" w:header="0"/>
        </w:sectPr>
      </w:pPr>
    </w:p>
    <w:bookmarkStart w:id="34" w:name="page35"/>
    <w:bookmarkEnd w:id="34"/>
    <w:p>
      <w:pPr>
        <w:ind w:right="60"/>
        <w:spacing w:after="0" w:line="278" w:lineRule="auto"/>
        <w:rPr>
          <w:sz w:val="20"/>
          <w:szCs w:val="20"/>
          <w:color w:val="auto"/>
        </w:rPr>
      </w:pPr>
      <w:r>
        <w:rPr>
          <w:rFonts w:ascii="Times New Roman" w:cs="Times New Roman" w:eastAsia="Times New Roman" w:hAnsi="Times New Roman"/>
          <w:sz w:val="20"/>
          <w:szCs w:val="20"/>
          <w:color w:val="auto"/>
        </w:rPr>
        <w:t>(1.0mL). These process improvements have led to an approximately 35% increase in yield as well, while maintaining comparable product quality.</w:t>
      </w:r>
    </w:p>
    <w:p>
      <w:pPr>
        <w:spacing w:after="0" w:line="16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We have personnel with significant technical, manufacturing, analytical, quality, regulatory, including current Good Manufacturing Practices (“cGMP”), and project management experience to oversee our third-party manufacturers and to manage manufacturing and quality data and information for regulatory compliance purposes. At the appropriate time, we will determine whether to establish in-house manufacturing capabilities or continue to rely on third parties to manufacture commercial quantities for verekitug or any future products for which we may successfully develop and obtain regulatory approval.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biopharmaceutical industry is characterized by rapid advancing technologies, intense competition and a strong emphasis on proprietary and novel products and product candidates. Our competitors have developed, are developing or may develop products, product candidates and processes competitive with verekitug. Verekitug and any future product candidates that we successfully develop and commercialize will compete with existing therapies and new therapies that may become available in the future. Our competitors include larger and better-funded pharmaceutical, biopharmaceutical, biotechnological and therapeutics companies. Moreover, we may also compete with universities, governmental agencies and other public and private research institutions who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subjects for clinical trials and in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spacing w:after="0" w:line="202"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20"/>
          <w:szCs w:val="20"/>
          <w:color w:val="auto"/>
        </w:rPr>
        <w:t>Existing therapeutics for asthma include controller medications, reliever medications and more recently, biologics from Genentech, Inc. (“Genentech”) and Novartis Pharmaceuticals Corporation (“Novartis”) (Xolair), Sanofi and Regeneron (Dupixent), GSK (Nucala), GSK (Exdensur), AstraZeneca (Fasenra), and Amgen and AstraZeneca (Tezspire) . Existing therapeutics for CRSwNP include topical corticosteroids, nasal saline irrigations and more recently, biologics from Genentech and Novartis (Xolair), Sanofi and Regeneron (Dupixent), GSK (Nucala), and Amgen and AstraZeneca (Tezspire). Existing therapeutics for COPD include inhaled steroids and bronchodilator inhalers and more recently, a biologic from Sanofi and Regeneron (Dupixent) and GSK (Nucala). A biologic targeting the TSLP ligand is also in development by Amgen and AstraZeneca (Tezspire) for COPD.</w:t>
      </w:r>
    </w:p>
    <w:p>
      <w:pPr>
        <w:spacing w:after="0" w:line="20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While there are numerous biologics approved for the treatment of severe asthma, tezepelumab, a monoclonal antibody targeting the TSLP ligand, is the first and only treatment for severe asthma without any biomarker limitation. To our knowledge, verekitug is the only monoclonal antibody currently in clinical development that targets and inhibits the TSLP receptor.</w:t>
      </w:r>
    </w:p>
    <w:p>
      <w:pPr>
        <w:spacing w:after="0" w:line="18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If we successfully obtain approval for verekitug and any future product candidates, we believe that the key competitive factors that will affect the success of these candidates will be efficacy, safety, tolerability, convenience, price, the level of generic competition and the availability of reimbursement from commercial, government and other third-party payors relative to such competing products. Our commercial opportunity could be reduced or eliminated if our competitors develop and commercialize products that are superior in one or more of these categories. Our competitors also may obtain FDA or other regulatory approval for their products more rapidly than we do, which could result in our competitors establishing a strong market position before we are able to enter the market.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We strive to protect and enhance the proprietary technology, inventions and improvements that are commercially important to the development of our business, including seeking, maintaining and defending patent rights, whether developed internally or licensed from third parties. We may also rely on trademarks, copyrights and trade secrets relating to our proprietary technology platform and on know-how, continuing technological innovation and in-licensing opportunities to develop, strengthen and maintain our proprietary and intellectual property position. We additionally may rely on regulatory and other protections afforded through data exclusivity, market exclusivity and patent term extensions, where available.</w:t>
      </w:r>
    </w:p>
    <w:p>
      <w:pPr>
        <w:spacing w:after="0" w:line="200"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color w:val="auto"/>
        </w:rPr>
        <w:t>Our commercial success depends in part upon our ability to obtain and maintain patent and other proprietary protection for commercially important technologies, inventions and trade secrets related to our business, defend and enforce our intellectual</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440"/>
          </w:cols>
          <w:pgMar w:left="900" w:top="929" w:right="900" w:bottom="371" w:gutter="0" w:footer="0" w:header="0"/>
        </w:sectPr>
      </w:pPr>
    </w:p>
    <w:bookmarkStart w:id="35" w:name="page36"/>
    <w:bookmarkEnd w:id="35"/>
    <w:p>
      <w:pPr>
        <w:ind w:right="60"/>
        <w:spacing w:after="0" w:line="278" w:lineRule="auto"/>
        <w:rPr>
          <w:sz w:val="20"/>
          <w:szCs w:val="20"/>
          <w:color w:val="auto"/>
        </w:rPr>
      </w:pPr>
      <w:r>
        <w:rPr>
          <w:rFonts w:ascii="Times New Roman" w:cs="Times New Roman" w:eastAsia="Times New Roman" w:hAnsi="Times New Roman"/>
          <w:sz w:val="20"/>
          <w:szCs w:val="20"/>
          <w:color w:val="auto"/>
        </w:rPr>
        <w:t>property rights, particularly our patent rights, preserve the confidentiality of our trade secrets and operate without infringing valid and enforceable intellectual property rights of others.</w:t>
      </w:r>
    </w:p>
    <w:p>
      <w:pPr>
        <w:spacing w:after="0" w:line="1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patent positions for biotechnology and pharmaceutical companies like us are generally uncertain and can involve complex legal, scientific and factual issues. In addition, the coverage claimed in a patent application can be significantly reduced before a patent is issued, and its scope can be reinterpreted and even challenged after issuance. As a result, we cannot guarantee that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protection from competitors. Any patents that we hold may be challenged, circumvented or invalidated by third parties.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Verekitug program</w:t>
      </w:r>
    </w:p>
    <w:p>
      <w:pPr>
        <w:spacing w:after="0" w:line="1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We own 6 patent families directed to verekitug. A first patent family is directed to compositions of matter of verekitug and methods of using the same for treating asthma and expire in 2034, without taking any potential patent term extension into account. As of March 20, 2026, this first patent family has two issued U.S. patents, 20 issued patents in foreign jurisdictions, including Argentina, Australia, Brazil, Canada, a European patent (validated in Albania, Austria, Belgium, Bulgaria, Switzerland, Cyprus, Czech Republic, Germany, Denmark, Estonia, Spain, Finland, France, Great Britain, Greece, Hungary, Croatia, Ireland, Iceland, Italy, Liechtenstein, Latvia, Lithuania, Luxembourg, Monaco, Malta, Macedonia, Netherlands, Norway, Poland, Portugal, Romania, Serbia, Sweden, Slovenia, Slovakia, and Turkey), Hong Kong, Indonesia, Israel, India, Japan, South Korea, Malaysia, Mexico, Philippines, Russia, Singapore, Taiwan, Ukraine, Vietnam and South Africa, and one pending application in Thailand. A second patent family is directed to certain pharmaceutical formulations comprising verekitug and methods of treating humans with asthma with such formulations, which expire in 2037, without taking any potential patent term extension into account. As of March 20, 2026, this second family includes three issued U.S. patents, one pending U.S. non-provisional application, 15 issued patents in foreign jurisdictions, including Canada, China, Hong Kong, Europe (validated in Switzerland, Germany, France, United Kingdom, and Ireland), two in Japan, South Korea, Macao, Mexico, Philippines, Russia, Singapore, two in Taiwan, Vietnam, and 3 pending applications in foreign jurisdictions, including in Indonesia, Singapore, and Thailand. The third patent family is directed to certain formulations that could be used with verekitug and methods of using the same and which expire in 2042, without taking any potential patent term extension into account. As of March 20, 2026, this third family has an issued U.S. patent, one pending U.S. non-provisional application, and 19 applications pending in foreign jurisdictions, including Argentina, Australia, Brazil, Canada, China, two in Hong Kong, Eurasia, Europe, Israel, India, Japan, South Korea, Mexico, New Zealand, Singapore, Taiwan, Ukraine, and South Africa, of which Eurasia has been allowed. The other three patent families are directed to methods of using verekitug and comprise 5 pending U.S. provisional patent applications. Should any patents issue based on these other three patent families they would expire in 2046, without taking any potential patent term extension into account.</w:t>
      </w:r>
    </w:p>
    <w:p>
      <w:pPr>
        <w:spacing w:after="0" w:line="219"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color w:val="auto"/>
        </w:rPr>
        <w:t>The term of individual patents depends upon the legal term of the patents in the countries in which they are obtained. In most countries in which we file, the patent term is 20 years from the earliest date of filing a non-provisional patent application.</w:t>
      </w:r>
    </w:p>
    <w:p>
      <w:pPr>
        <w:spacing w:after="0" w:line="16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 the United States, the term of a patent covering an FDA-approved drug may be eligible for a patent term extension under the Hatch-Waxman Act as compensation for the loss of patent term during the FDA regulatory review process. The period of extension may be up to five years beyond the expiration of the patent, but cannot extend the remaining term of a patent beyond a total of 14 years from the date of product approval. Only one patent among those eligible for an extension may be extended, and a given patent may only be extended once. Similar provisions are available in Europe and in certain other jurisdictions to extend the term of a patent that covers an approved drug. If our product candidates receive FDA approval, we intend to apply for patent term extensions, if available, to extend the term of patents that cover the approved product candidates. We also intend to seek patent term extensions in any jurisdictions where they are available, however, there is no guarantee that the applicable authorities, including the FDA, will agree with our assessment of whether such extensions should be granted, and even if granted, the length of such extensions.</w:t>
      </w:r>
    </w:p>
    <w:p>
      <w:pPr>
        <w:spacing w:after="0" w:line="202"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In addition to patent protection, we also rely on know-how and trade secret protection for our proprietary information to develop and maintain our proprietary position. However, trade secrets can be difficult to protect. Although we take steps to protect our proprietary information, including restricting access to our premises and our confidential information, as well as entering into agreements with our employees, consultants, advisors and potential collaborators, third parties may independently develop the same or similar proprietary information or may otherwise gain access to our proprietary information. As a result, we may be unable to meaningfully protect our know-how, trade secrets, and other proprietary information.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440"/>
          </w:cols>
          <w:pgMar w:left="900" w:top="929" w:right="900" w:bottom="371" w:gutter="0" w:footer="0" w:header="0"/>
        </w:sectPr>
      </w:pPr>
    </w:p>
    <w:bookmarkStart w:id="36" w:name="page37"/>
    <w:bookmarkEnd w:id="36"/>
    <w:p>
      <w:pPr>
        <w:ind w:right="960"/>
        <w:spacing w:after="0" w:line="278" w:lineRule="auto"/>
        <w:rPr>
          <w:sz w:val="20"/>
          <w:szCs w:val="20"/>
          <w:color w:val="auto"/>
        </w:rPr>
      </w:pPr>
      <w:r>
        <w:rPr>
          <w:rFonts w:ascii="Times New Roman" w:cs="Times New Roman" w:eastAsia="Times New Roman" w:hAnsi="Times New Roman"/>
          <w:sz w:val="20"/>
          <w:szCs w:val="20"/>
          <w:color w:val="auto"/>
        </w:rPr>
        <w:t>In addition, we plan to rely on regulatory protection based on orphan drug exclusivities, data exclusivities, and market exclusivities. See the section titled “—Government regulation” below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Asset purchase and license agreements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acquisition from Astellas</w:t>
      </w:r>
    </w:p>
    <w:p>
      <w:pPr>
        <w:spacing w:after="0" w:line="12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October 2021, we entered into an asset purchase agreement with Astellas Pharma, Inc. (“Astellas”), which we refer to as the “Astellas Asset Purchase Agreement.” Pursuant to the Astellas Asset Purchase Agreement, we purchased from Astellas the compound designated by Astellas as ASP7266 (the “Compound”), the corresponding patent rights and any unregistered intellectual property rights, inventory related to the Compound, documents, data and copies of all filings and material correspondence with regulatory agencies (and the data included therein), and obtained an exclusive license under certain processes and methods of manufacture, testing, qualifying and use of the Compound to manufacture the Compound, with an upfront cash payment of $81.1 million. The Compound was renamed by us as verekitug (UPB-101). There are no future payments owed to Astellas under the Astellas Asset Purchase Agreement.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Related letter agreement with Astellas and Regeneron</w:t>
      </w:r>
    </w:p>
    <w:p>
      <w:pPr>
        <w:spacing w:after="0" w:line="120"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In connection with the Astellas Asset Purchase Agreement, we concurrently entered into a letter agreement with Astellas and Regeneron Pharmaceuticals, Inc. (“Regeneron”), which we refer to as the “Regeneron Letter Agreement.” 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199"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Exclusive license agreement with Maruho</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In October 2021, we entered into a license agreement with Maruho Co., Ltd. (“Maruho”), as amended on May 30, 2023 (the “Maruho License Agreement”), under which we granted to Maruho an exclusive, irrevocable, perpetual, royalty-free, sublicensable (subject to our right of first negotiation as described below) license. The license was under certain intellectual property rights controlled by us or our affiliates to research, develop, manufacture via a third party contract manufacturer, sell and import any pharmaceutical, biologic or medical device product (or any combination thereof), which (i) was or is developed by or on behalf of us or our affiliates, and (ii) incorporates or uses the compound designated by Astellas as ASP7266 in Japan (collectively, the “Maruho License Product”).</w:t>
      </w:r>
    </w:p>
    <w:p>
      <w:pPr>
        <w:spacing w:after="0" w:line="199"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Pursuant to the Maruho License Agreement, we are responsible for and control the global research and development of the Maruho License Product, including in Japan. In addition, under the Maruho License Agreement, we granted Maruho a right of first negotiation, exercisable between the effective date of the Maruho License Agreement and the earlier of (a) October 11, 2027 and (b) the occurrence of a merger and acquisition of us by a third party, such that, in the event of our actual liquidation (not including deemed liquidation events such as a merger and acquisition by third parties), Maruho has the right to first negotiate to purchase all of our asset relating to the Maruho License Product. Maruho also granted us a right of first negotiation, exercisable between the effective date of the Maruho License Agreement and the earlier of (a) the fifth anniversary of such effective date and</w:t>
      </w:r>
    </w:p>
    <w:p>
      <w:pPr>
        <w:spacing w:after="0" w:line="2" w:lineRule="exact"/>
        <w:rPr>
          <w:sz w:val="20"/>
          <w:szCs w:val="20"/>
          <w:color w:val="auto"/>
        </w:rPr>
      </w:pPr>
    </w:p>
    <w:p>
      <w:pPr>
        <w:ind w:right="260" w:firstLine="7"/>
        <w:spacing w:after="0" w:line="249" w:lineRule="auto"/>
        <w:tabs>
          <w:tab w:leader="none" w:pos="28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of control of us, such that, in the event Maruho desires to sell, assign sublicense or otherwise transfer any or all of Maruho’s rights under the Maruho License Agreement, we have a right to first negotiate to acquire such rights.</w:t>
      </w:r>
    </w:p>
    <w:p>
      <w:pPr>
        <w:spacing w:after="0" w:line="19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Both parties waive their right to termination of the Maruho License Agreement for any reason, except that Maruho has the right to terminate the Maruho License Agreement at any time by providing 60 days prior written notice to us.</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420"/>
          </w:cols>
          <w:pgMar w:left="900" w:top="929" w:right="920" w:bottom="371"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Lonza</w:t>
      </w:r>
    </w:p>
    <w:p>
      <w:pPr>
        <w:spacing w:after="0" w:line="1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October 2021, in connection with the Astellas Asset Purchase Agreement, we entered into a license agreement with Lonza Sales AG (“Lonza”), as amended (the “Lonza License Agreement”), pursuant to which we obtained a worldwide, non-exclusive, sublicensable (subject to Lonza’s right of pre-approval with respect to any sublicense of manufacturing activities) license to certain intellectual property rights owned by Lonza. The license allows us to use Lonza’s glutamine synthetase gene expression system (“Lonza System”) to develop, manufacture and commercialize the Compound, including any part of such system that is embodied within or otherwise used to create the cell lines expressing the Compound or a component thereof.</w:t>
      </w:r>
    </w:p>
    <w:p>
      <w:pPr>
        <w:spacing w:after="0" w:line="200"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color w:val="auto"/>
        </w:rPr>
        <w:t>As consideration for the rights and licenses granted to us, we agreed to pay Lonza certain royalties and annual payments, in respect of the manufacturing and sale of the Compound, such amounts to be determined by the party manufacturing the Compound, and range from no annual payment to up to a mid-six-figure annual payment, and a less-than-one percent to a low-single-digit percentage royalty on net sales of the Compound.</w:t>
      </w:r>
    </w:p>
    <w:p>
      <w:pPr>
        <w:spacing w:after="0" w:line="19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color w:val="auto"/>
        </w:rPr>
        <w:t>Any royalties due under the Lonza License Agreement are payable on a country-by-country basis until ten years from the first commercial sale of the Compound in that particular country.</w:t>
      </w:r>
    </w:p>
    <w:p>
      <w:pPr>
        <w:spacing w:after="0" w:line="16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Lonza License Agreement continues for an indefinite period of time unless otherwise terminated. We may terminate the agreement at any time upon prior written notice to Lonza. Furthermore, either party may terminate the agreement upon the occurrence of a material breach of such agreement by the other party that is irremediable or not remedied within a certain period of time, or the other party’s failure to pay debts or entry into liquidation. Lonza also may terminate the Lonza License Agreement by providing written notice to us if we contest the secret or substantial nature of the know-how relating to the Lonza System that is licensed to us under the Lonza License Agreement.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biological products in the United States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the United States, the FDA regulates biological products under the Federal Food, Drug, and Cosmetic Act (“FDCA”), the Public Health Service Act (“PHSA”), and their implementing regulations. Biological products are also subject to other federal, state and local statutes and regulations. Verekitug is in clinical development and has not been approved by the FDA for marketing in the United States.</w:t>
      </w:r>
    </w:p>
    <w:p>
      <w:pPr>
        <w:spacing w:after="0" w:line="19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An applicant seeking approval to market and distribute a new biological product in the United States generally must satisfactorily complete each of the following steps:</w:t>
      </w:r>
    </w:p>
    <w:p>
      <w:pPr>
        <w:spacing w:after="0" w:line="61" w:lineRule="exact"/>
        <w:rPr>
          <w:sz w:val="20"/>
          <w:szCs w:val="20"/>
          <w:color w:val="auto"/>
        </w:rPr>
      </w:pPr>
    </w:p>
    <w:p>
      <w:pPr>
        <w:ind w:left="500" w:right="760" w:hanging="493"/>
        <w:spacing w:after="0" w:line="262"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preclinical laboratory tests, animal studies and formulation studies performed in accordance with the FDA’s Good Laboratory Practices (“GLP”) regulations, as applicable;</w:t>
      </w:r>
    </w:p>
    <w:p>
      <w:pPr>
        <w:spacing w:after="0" w:line="76" w:lineRule="exact"/>
        <w:rPr>
          <w:rFonts w:ascii="Symbol" w:cs="Symbol" w:eastAsia="Symbol" w:hAnsi="Symbol"/>
          <w:sz w:val="20"/>
          <w:szCs w:val="20"/>
          <w:color w:val="auto"/>
        </w:rPr>
      </w:pPr>
    </w:p>
    <w:p>
      <w:pPr>
        <w:ind w:left="500" w:right="120" w:hanging="493"/>
        <w:spacing w:after="0" w:line="261"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completion of the manufacture, under cGMP conditions, of the product candidate that the sponsor intends to use in human clinical trials along with required analytical and stability testing;</w:t>
      </w:r>
    </w:p>
    <w:p>
      <w:pPr>
        <w:spacing w:after="0" w:line="77" w:lineRule="exact"/>
        <w:rPr>
          <w:rFonts w:ascii="Symbol" w:cs="Symbol" w:eastAsia="Symbol" w:hAnsi="Symbol"/>
          <w:sz w:val="20"/>
          <w:szCs w:val="20"/>
          <w:color w:val="auto"/>
        </w:rPr>
      </w:pPr>
    </w:p>
    <w:p>
      <w:pPr>
        <w:ind w:left="500" w:right="640" w:hanging="493"/>
        <w:spacing w:after="0" w:line="262"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submission to the FDA of an Investigational New Drug application (“IND”), for human clinical testing, which must become effective before human clinical trials may begin;</w:t>
      </w:r>
    </w:p>
    <w:p>
      <w:pPr>
        <w:spacing w:after="0" w:line="75" w:lineRule="exact"/>
        <w:rPr>
          <w:rFonts w:ascii="Symbol" w:cs="Symbol" w:eastAsia="Symbol" w:hAnsi="Symbol"/>
          <w:sz w:val="20"/>
          <w:szCs w:val="20"/>
          <w:color w:val="auto"/>
        </w:rPr>
      </w:pPr>
    </w:p>
    <w:p>
      <w:pPr>
        <w:ind w:left="500" w:right="100" w:hanging="493"/>
        <w:spacing w:after="0" w:line="262"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approval by an independent institutional review board (“IRB”) representing each clinical trial site before each clinical trial site may be initiated;</w:t>
      </w:r>
    </w:p>
    <w:p>
      <w:pPr>
        <w:spacing w:after="0" w:line="76" w:lineRule="exact"/>
        <w:rPr>
          <w:rFonts w:ascii="Symbol" w:cs="Symbol" w:eastAsia="Symbol" w:hAnsi="Symbol"/>
          <w:sz w:val="20"/>
          <w:szCs w:val="20"/>
          <w:color w:val="auto"/>
        </w:rPr>
      </w:pPr>
    </w:p>
    <w:p>
      <w:pPr>
        <w:ind w:left="500" w:right="220" w:hanging="493"/>
        <w:spacing w:after="0" w:line="250"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current Good Clinical Practices (“GCP”) and any additional nonclinical studies required to establish the safety and effectiveness of the product candidate for each proposed indication;</w:t>
      </w:r>
    </w:p>
    <w:p>
      <w:pPr>
        <w:spacing w:after="0" w:line="88" w:lineRule="exact"/>
        <w:rPr>
          <w:rFonts w:ascii="Symbol" w:cs="Symbol" w:eastAsia="Symbol" w:hAnsi="Symbol"/>
          <w:sz w:val="20"/>
          <w:szCs w:val="20"/>
          <w:color w:val="auto"/>
        </w:rPr>
      </w:pPr>
    </w:p>
    <w:p>
      <w:pPr>
        <w:jc w:val="both"/>
        <w:ind w:left="500" w:right="280" w:hanging="493"/>
        <w:spacing w:after="0" w:line="251"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preparation and submission to the FDA of a biologics license application (“BLA”), as applicable, requesting approval to market the product candidate for one or more proposed indications, including submission of detailed information on the manufacture and composition of the product and proposed labeling;</w:t>
      </w:r>
    </w:p>
    <w:p>
      <w:pPr>
        <w:spacing w:after="0" w:line="87" w:lineRule="exact"/>
        <w:rPr>
          <w:rFonts w:ascii="Symbol" w:cs="Symbol" w:eastAsia="Symbol" w:hAnsi="Symbol"/>
          <w:sz w:val="20"/>
          <w:szCs w:val="20"/>
          <w:color w:val="auto"/>
        </w:rPr>
      </w:pPr>
    </w:p>
    <w:p>
      <w:pPr>
        <w:ind w:left="500" w:hanging="493"/>
        <w:spacing w:after="0"/>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review of the product by an FDA advisory committee, where appropriate and as applicable;</w:t>
      </w:r>
    </w:p>
    <w:p>
      <w:pPr>
        <w:spacing w:after="0" w:line="119" w:lineRule="exact"/>
        <w:rPr>
          <w:rFonts w:ascii="Symbol" w:cs="Symbol" w:eastAsia="Symbol" w:hAnsi="Symbol"/>
          <w:sz w:val="20"/>
          <w:szCs w:val="20"/>
          <w:color w:val="auto"/>
        </w:rPr>
      </w:pPr>
    </w:p>
    <w:p>
      <w:pPr>
        <w:jc w:val="both"/>
        <w:ind w:left="500" w:right="120" w:hanging="493"/>
        <w:spacing w:after="0" w:line="250" w:lineRule="auto"/>
        <w:tabs>
          <w:tab w:leader="none" w:pos="500" w:val="left"/>
        </w:tabs>
        <w:numPr>
          <w:ilvl w:val="0"/>
          <w:numId w:val="20"/>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one or more FDA inspections of the manufacturing facility or facilities, including those of third parties, at which the product, or components thereof, are produced to assess compliance with cGMP and to assure that the facilities, methods and controls are adequate to preserve the product’s identity, strength, quality and purity;</w:t>
      </w:r>
    </w:p>
    <w:p>
      <w:pPr>
        <w:spacing w:after="0" w:line="3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400"/>
          </w:cols>
          <w:pgMar w:left="900" w:top="1160" w:right="940" w:bottom="371" w:gutter="0" w:footer="0" w:header="0"/>
        </w:sectPr>
      </w:pPr>
    </w:p>
    <w:bookmarkStart w:id="38" w:name="page39"/>
    <w:bookmarkEnd w:id="38"/>
    <w:p>
      <w:pPr>
        <w:ind w:left="500" w:right="140" w:hanging="493"/>
        <w:spacing w:after="0" w:line="262" w:lineRule="auto"/>
        <w:tabs>
          <w:tab w:leader="none" w:pos="5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satisfactory completion of any FDA audits of the preclinical studies and clinical trial sites to assure compliance with GLP, as applicable, and GCP, and the integrity of clinical data in support of the BLA;</w:t>
      </w:r>
    </w:p>
    <w:p>
      <w:pPr>
        <w:spacing w:after="0" w:line="76" w:lineRule="exact"/>
        <w:rPr>
          <w:rFonts w:ascii="Symbol" w:cs="Symbol" w:eastAsia="Symbol" w:hAnsi="Symbol"/>
          <w:sz w:val="20"/>
          <w:szCs w:val="20"/>
          <w:color w:val="auto"/>
        </w:rPr>
      </w:pPr>
    </w:p>
    <w:p>
      <w:pPr>
        <w:ind w:left="500" w:hanging="493"/>
        <w:spacing w:after="0"/>
        <w:tabs>
          <w:tab w:leader="none" w:pos="5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payment of user fees under the Prescription Drug User Fee Act (“PDUFA”), unless exempted;</w:t>
      </w:r>
    </w:p>
    <w:p>
      <w:pPr>
        <w:spacing w:after="0" w:line="118" w:lineRule="exact"/>
        <w:rPr>
          <w:rFonts w:ascii="Symbol" w:cs="Symbol" w:eastAsia="Symbol" w:hAnsi="Symbol"/>
          <w:sz w:val="20"/>
          <w:szCs w:val="20"/>
          <w:color w:val="auto"/>
        </w:rPr>
      </w:pPr>
    </w:p>
    <w:p>
      <w:pPr>
        <w:ind w:left="500" w:hanging="493"/>
        <w:spacing w:after="0"/>
        <w:tabs>
          <w:tab w:leader="none" w:pos="500" w:val="left"/>
        </w:tabs>
        <w:numPr>
          <w:ilvl w:val="0"/>
          <w:numId w:val="21"/>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obtaining FDA approval, or licensure, of the BLA; and</w:t>
      </w:r>
    </w:p>
    <w:p>
      <w:pPr>
        <w:spacing w:after="0" w:line="119" w:lineRule="exact"/>
        <w:rPr>
          <w:rFonts w:ascii="Symbol" w:cs="Symbol" w:eastAsia="Symbol" w:hAnsi="Symbol"/>
          <w:sz w:val="20"/>
          <w:szCs w:val="20"/>
          <w:color w:val="auto"/>
        </w:rPr>
      </w:pPr>
    </w:p>
    <w:p>
      <w:pPr>
        <w:jc w:val="both"/>
        <w:ind w:left="500" w:right="180" w:hanging="493"/>
        <w:spacing w:after="0" w:line="288" w:lineRule="auto"/>
        <w:tabs>
          <w:tab w:leader="none" w:pos="500" w:val="left"/>
        </w:tabs>
        <w:numPr>
          <w:ilvl w:val="0"/>
          <w:numId w:val="21"/>
        </w:numPr>
        <w:rPr>
          <w:rFonts w:ascii="Symbol" w:cs="Symbol" w:eastAsia="Symbol" w:hAnsi="Symbol"/>
          <w:sz w:val="19"/>
          <w:szCs w:val="19"/>
          <w:color w:val="auto"/>
        </w:rPr>
      </w:pPr>
      <w:r>
        <w:rPr>
          <w:rFonts w:ascii="Times New Roman" w:cs="Times New Roman" w:eastAsia="Times New Roman" w:hAnsi="Times New Roman"/>
          <w:sz w:val="19"/>
          <w:szCs w:val="19"/>
          <w:color w:val="auto"/>
        </w:rPr>
        <w:t>compliance with any post-approval requirements, including the potential requirement to implement a Risk Evaluation and Mitigation Strategy (“REMS”) and any post-approval studies or other post-marketing commitments required by the FDA.</w:t>
      </w:r>
    </w:p>
    <w:p>
      <w:pPr>
        <w:spacing w:after="0" w:line="15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failure to comply with the applicable U.S. requirements at any time during the product development process, including preclinical testing, clinical testing, and the approval process, or the post-approval process, may subject an applicant to delays in development, regulatory review or approval and/or administrative or judicial sanctions. These sanctions may include, but are not limited to, the FDA’s refusal to allow an applicant to proceed with clinical testing, refusal to approve pending applications, license suspension or revocation, withdrawal of an approval, issuance of warning or untitled letters, adverse publicity, product recalls, marketing restrictions, product seizures, import detentions and refusals, total or partial suspension of production or distribution, injunctions, fines and civil or criminal investigations and penalties brought by the FDA or the Department of Justice (“DOJ”), and other governmental entities, including state agencies.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studies and investigational new drug application</w:t>
      </w:r>
    </w:p>
    <w:p>
      <w:pPr>
        <w:spacing w:after="0" w:line="1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Before testing any product candidate in humans, the product candidate must undergo preclinical testing. Preclinical tests include laboratory evaluations of product chemistry, formulation and stability, as well as studies to evaluate the potential for efficacy and toxicity in animal studies. The conduct of the preclinical tests and formulation of the compounds for testing must comply with federal regulations and requirements. The results of the preclinical tests, together with manufacturing information, analytical data, and plans for the proposed clinical studies, are submitted to the FDA as part of an IND application. Some preclinical testing may continue after an IND is submitted.</w:t>
      </w:r>
    </w:p>
    <w:p>
      <w:pPr>
        <w:spacing w:after="0" w:line="200" w:lineRule="exact"/>
        <w:rPr>
          <w:sz w:val="20"/>
          <w:szCs w:val="20"/>
          <w:color w:val="auto"/>
        </w:rPr>
      </w:pPr>
    </w:p>
    <w:p>
      <w:pPr>
        <w:jc w:val="both"/>
        <w:ind w:right="220"/>
        <w:spacing w:after="0" w:line="252" w:lineRule="auto"/>
        <w:rPr>
          <w:sz w:val="20"/>
          <w:szCs w:val="20"/>
          <w:color w:val="auto"/>
        </w:rPr>
      </w:pPr>
      <w:r>
        <w:rPr>
          <w:rFonts w:ascii="Times New Roman" w:cs="Times New Roman" w:eastAsia="Times New Roman" w:hAnsi="Times New Roman"/>
          <w:sz w:val="20"/>
          <w:szCs w:val="20"/>
          <w:color w:val="auto"/>
        </w:rPr>
        <w:t>An IND automatically becomes effective 30 days after receipt by the FDA, unless before that time the FDA raises concerns or questions about the product candidate or conduct of the proposed clinical trial, including concerns that human research subjects will be exposed to unreasonable health risks, and places the clinical trial on a partial or complete clinical hold. In that case, the IND sponsor and the FDA must resolve the clinical hold issues before the clinical trials can begin.</w:t>
      </w:r>
    </w:p>
    <w:p>
      <w:pPr>
        <w:spacing w:after="0" w:line="19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Clinical holds also may be imposed by the FDA after clinical trials have begun, including if there is concern for patient safety, as a result of new data, findings, or developments in clinical, preclinical and/or chemistry, manufacturing and controls, or where there is non-compliance with regulatory requirements. A separate submission to an existing IND must be made for each successive clinical trial conducted during development, and the FDA reviews such submissions before each clinical trial can begin.</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Human clinical trials in support of a BLA</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candidate to healthy volunteers or patients with the disease or condition to be treated under the supervision of qualified investigators in accordance with GCP requirements. Clinical trials are conducted under protocols detailing, among other things, the objectives of the trial, dosing procedures, inclusion and exclusion criteria, the parameters to be used in monitoring safety, and the effectiveness criteria to be evaluated. A protocol for each clinical trial and any subsequent protocol amendments must be submitted to the FDA as part of the IND. Clinical testing also must satisfy extensive GCP rules and the requirements for informed consent.</w:t>
      </w:r>
    </w:p>
    <w:p>
      <w:pPr>
        <w:spacing w:after="0" w:line="20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 sponsor who wishes to conduct a clinical trial outside the United States may, but need not, obtain FDA authorization to conduct the clinical trial under an IND. When a foreign clinical trial is conducted under an IND, all FDA IND requirements must be met unless waived. The FDA will accept a well-designed and well-conducted foreign clinical study not conducted under an IND if the study was conducted in accordance with GCP requirements, and the FDA is able to validate the data through an onsite inspection if deemed necessary. The GCP requirements encompass both ethical and data integrity standards for clinical trials. The FDA’s regulations are intended to help ensure the protection of human subjects enrolled in non-IND foreign clinical trials, as well as the quality and integrity of the resulting data.</w:t>
      </w:r>
    </w:p>
    <w:p>
      <w:pPr>
        <w:spacing w:after="0" w:line="20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Further, each clinical trial must be reviewed and approved by an IRB either centrally or individually at each institution at which the clinical trial will be conducted. The IRB will consider, among other things, clinical trial design, patient informed consent, ethical factors, the safety of human subjects and the possible liability of the institution. An IRB must operate in compliance with</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420"/>
          </w:cols>
          <w:pgMar w:left="900" w:top="944" w:right="920" w:bottom="371" w:gutter="0" w:footer="0" w:header="0"/>
        </w:sectPr>
      </w:pPr>
    </w:p>
    <w:bookmarkStart w:id="39" w:name="page40"/>
    <w:bookmarkEnd w:id="39"/>
    <w:p>
      <w:pPr>
        <w:ind w:right="240"/>
        <w:spacing w:after="0" w:line="259" w:lineRule="auto"/>
        <w:rPr>
          <w:sz w:val="20"/>
          <w:szCs w:val="20"/>
          <w:color w:val="auto"/>
        </w:rPr>
      </w:pPr>
      <w:r>
        <w:rPr>
          <w:rFonts w:ascii="Times New Roman" w:cs="Times New Roman" w:eastAsia="Times New Roman" w:hAnsi="Times New Roman"/>
          <w:sz w:val="20"/>
          <w:szCs w:val="20"/>
          <w:color w:val="auto"/>
        </w:rPr>
        <w:t>FDA regulations. The FDA, IRB, or the clinical trial sponsor may suspend or discontinue a clinical trial at any time for various reasons, including a finding that the clinical trial is not being conducted in accordance with GCP requirements or that the participants are being exposed to an unacceptable health risk.</w:t>
      </w:r>
    </w:p>
    <w:p>
      <w:pPr>
        <w:spacing w:after="0" w:line="18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Additionally, some clinical trials are overseen by an independent group of qualified experts organized by the clinical trial sponsor, known as a data safety monitoring board (“DSMB”), or data monitoring committee (“DMC”). This group may recommend continuation of the trial as planned, changes in trial conduct, or cessation of the trial at designated check points based on certain available data from the trial to which only the DSMB/DMC has access.</w:t>
      </w:r>
    </w:p>
    <w:p>
      <w:pPr>
        <w:spacing w:after="0" w:line="19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color w:val="auto"/>
        </w:rPr>
        <w:t>Clinical trials typically are conducted in three sequential phases, but the phases may overlap or be combined. Additional studies may be required after approval.</w:t>
      </w:r>
    </w:p>
    <w:p>
      <w:pPr>
        <w:spacing w:after="0" w:line="61" w:lineRule="exact"/>
        <w:rPr>
          <w:sz w:val="20"/>
          <w:szCs w:val="20"/>
          <w:color w:val="auto"/>
        </w:rPr>
      </w:pPr>
    </w:p>
    <w:p>
      <w:pPr>
        <w:jc w:val="both"/>
        <w:ind w:left="500" w:right="200" w:hanging="493"/>
        <w:spacing w:after="0" w:line="250" w:lineRule="auto"/>
        <w:tabs>
          <w:tab w:leader="none" w:pos="5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Phase 1 clinical trials are initially conducted in a limited population of healthy subjects or disease-affected patients to test the product candidate for safety, including adverse effects, dose tolerance, absorption, metabolism, distribution, excretion and pharmacodynamics.</w:t>
      </w:r>
    </w:p>
    <w:p>
      <w:pPr>
        <w:spacing w:after="0" w:line="90" w:lineRule="exact"/>
        <w:rPr>
          <w:rFonts w:ascii="Symbol" w:cs="Symbol" w:eastAsia="Symbol" w:hAnsi="Symbol"/>
          <w:sz w:val="20"/>
          <w:szCs w:val="20"/>
          <w:color w:val="auto"/>
        </w:rPr>
      </w:pPr>
    </w:p>
    <w:p>
      <w:pPr>
        <w:ind w:left="500" w:right="100" w:hanging="493"/>
        <w:spacing w:after="0" w:line="247" w:lineRule="auto"/>
        <w:tabs>
          <w:tab w:leader="none" w:pos="5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 Multiple Phase 2 clinical trials may be conducted by the sponsor to obtain information prior to beginning larger and more costly Phase 3 clinical trials.</w:t>
      </w:r>
    </w:p>
    <w:p>
      <w:pPr>
        <w:spacing w:after="0" w:line="92" w:lineRule="exact"/>
        <w:rPr>
          <w:rFonts w:ascii="Symbol" w:cs="Symbol" w:eastAsia="Symbol" w:hAnsi="Symbol"/>
          <w:sz w:val="20"/>
          <w:szCs w:val="20"/>
          <w:color w:val="auto"/>
        </w:rPr>
      </w:pPr>
    </w:p>
    <w:p>
      <w:pPr>
        <w:ind w:left="500" w:right="140" w:hanging="493"/>
        <w:spacing w:after="0" w:line="245" w:lineRule="auto"/>
        <w:tabs>
          <w:tab w:leader="none" w:pos="500" w:val="left"/>
        </w:tabs>
        <w:numPr>
          <w:ilvl w:val="0"/>
          <w:numId w:val="22"/>
        </w:numPr>
        <w:rPr>
          <w:rFonts w:ascii="Symbol" w:cs="Symbol" w:eastAsia="Symbol" w:hAnsi="Symbol"/>
          <w:sz w:val="20"/>
          <w:szCs w:val="20"/>
          <w:color w:val="auto"/>
        </w:rPr>
      </w:pPr>
      <w:r>
        <w:rPr>
          <w:rFonts w:ascii="Times New Roman" w:cs="Times New Roman" w:eastAsia="Times New Roman" w:hAnsi="Times New Roman"/>
          <w:sz w:val="20"/>
          <w:szCs w:val="20"/>
          <w:color w:val="auto"/>
        </w:rPr>
        <w:t>Phase 3 clinical trials typically proceed if the Phase 2 clinical trials demonstrate that a dose range of the product candidate is potentially effective and has an acceptable safety profile. Phase 3 clinical trials are generally undertaken within an expanded patient population to provide substantial evidence of clinical efficacy and further test for safety in an expanded and diverse patient population at multiple, geographically dispersed clinical trial sites to provide a basis for physician labeling and for submitting a BLA to seek regulatory approval for a biological product.</w:t>
      </w:r>
    </w:p>
    <w:p>
      <w:pPr>
        <w:spacing w:after="0" w:line="200"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In some cases, the FDA may approve a BLA but require the sponsor to conduct additional clinical trials to further assess the product’s safety and effectiveness after approval. Such post-approval trials are typically referred to as Phase 4 clinical trials. These studies are used to gain additional experience from the treatment of patients in the approved indication and, where applicable, to confirm a clinical benefit for products approved under accelerated approval. The failure to exercise due diligence with regard to conducting Phase 4 clinical trials could result in withdrawal of approval for products.</w:t>
      </w:r>
    </w:p>
    <w:p>
      <w:pPr>
        <w:spacing w:after="0" w:line="197"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20"/>
          <w:szCs w:val="20"/>
          <w:color w:val="auto"/>
        </w:rPr>
        <w:t>Information about applicable clinical trials must be submitted within specific timeframes to the National Institutes of Health (“NIH”) for public dissemination on its ClinicalTrials.gov website.</w:t>
      </w:r>
    </w:p>
    <w:p>
      <w:pPr>
        <w:spacing w:after="0" w:line="16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 xml:space="preserve">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or animal or </w:t>
      </w:r>
      <w:r>
        <w:rPr>
          <w:rFonts w:ascii="Times New Roman" w:cs="Times New Roman" w:eastAsia="Times New Roman" w:hAnsi="Times New Roman"/>
          <w:sz w:val="20"/>
          <w:szCs w:val="20"/>
          <w:i w:val="1"/>
          <w:iCs w:val="1"/>
          <w:color w:val="auto"/>
        </w:rPr>
        <w:t>in vitro</w:t>
      </w:r>
      <w:r>
        <w:rPr>
          <w:rFonts w:ascii="Times New Roman" w:cs="Times New Roman" w:eastAsia="Times New Roman" w:hAnsi="Times New Roman"/>
          <w:sz w:val="20"/>
          <w:szCs w:val="20"/>
          <w:color w:val="auto"/>
        </w:rPr>
        <w:t xml:space="preserve"> testing that suggest a significant risk for human subjects and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Under the Pediatric Research Equity Act,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(“PSP”) within 60 days of an end-of-phase 2 meeting or as may be agreed between the sponsor and FDA. Those plans must contain an outline of the proposed pediatric study or studies the applicant plans to conduct, including study objectives and design, any deferral or waiver requests and other information required by regulation. The sponsor and the FDA must reach agreement on the PSP. The FDA or the sponsor may request an amendment to the plan at any time.</w:t>
      </w:r>
    </w:p>
    <w:p>
      <w:pPr>
        <w:spacing w:after="0" w:line="20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The FDA may, on its own initiative or at the request of the sponsor, grant deferrals for submission of some or all pediatric data until after approval of the product for use in adults, or full or partial waivers from the pediatric data requirements. Unless otherwise required by regulation, the pediatric data requirements do not apply to products with orphan designation.</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420"/>
          </w:cols>
          <w:pgMar w:left="900" w:top="929" w:right="920" w:bottom="371"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Compliance with cGMP requirements</w:t>
      </w:r>
    </w:p>
    <w:p>
      <w:pPr>
        <w:spacing w:after="0" w:line="12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Concurrent with clinical trials, companies must finalize a process for manufacturing the product candidate in commercial quantities in accordance with cGMP requirements. To help reduce the risk of introduction of adventitious agents with the use of biological products, the PHSA emphasizes the importance of manufacturing controls for products with attributes that cannot be precisely defined. The manufacturing process must be capable of consistently producing quality batches of the product and, among other things, companies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20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Manufacturers and others involved in the manufacture and distribution of products must also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cGMPs and other laws. Noncompliance with such requirements can lead to adverse findings by the FDA during these inspections; in instances of significant or continued noncompliance, such adverse findings can serve as the basis for additional regulatory action by the FDA, including but not limited to warning letters, recalls, seizure, consent decrees, fines, and/or criminal penalties.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Review and approval of a BLA</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The results of product candidate development, preclinical testing and clinical trials, including negative or ambiguous results as well as positive findings, are submitted to the FDA as part of a BLA requesting approval to market the product for one or more specified indications. The BLA must contain extensive manufacturing information and detailed information on the composition of the product and proposed labeling as well as payment of a user fee. Under federal law, the submission of most BLAs are subject to an application user fee. The sponsor of an approved BLA is also subject to an annual program fee. Certain exceptions and waivers are available for some of these fees, such as an exception from the application fee for products with orphan designation and a waiver for certain small businesses.</w:t>
      </w:r>
    </w:p>
    <w:p>
      <w:pPr>
        <w:spacing w:after="0" w:line="199"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The FDA has 60 days after submission of the application to conduct an initial review to determine whether to accept it for filing based on the agency’s threshold determination that it is sufficiently complete to permit substantive review.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If the submission has been accepted for filing, the FDA begins an in-depth review of the application. Under the goals and policies agreed to by the FDA under PDUFA, the FDA has ten months in which to complete its initial review of a standard application and respond to the applicant, and six months for a priority review of the application. The FDA does not always meet its PDUFA goal dates for standard and priority BLAs. The review process may be significantly extended by FDA requests for additional information or clarification. The review process and the PDUFA goal date may be extended by three months if the FDA requests or if the applicant otherwise provides additional or clarifying information within the last three months before the PDUFA goal date.</w:t>
      </w:r>
    </w:p>
    <w:p>
      <w:pPr>
        <w:spacing w:after="0" w:line="20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The FDA reviews a BLA to determine, among other things, whether the product is safe and effective and whether the facility in which it is manufactured, processed, packaged or held meets standards designed to assure the product’s continued safety, quality and purity. The FDA likely will reanalyze the clinical trial data, which could result in extensive discussions between the FDA and the applicant during the review process. On the basis of the FDA’s evaluation of the application and accompanying information, including the results of the inspection of the manufacturing facilities and any FDA audits of preclinical and clinical trial sites to assure compliance with GCPs, the FDA may issue an approval letter or a complete response letter. An approval letter authorizes commercial marketing of the product with specific prescribing information for specific indications. If the application is not approved, the FDA will issue a complete response letter, which will contain the conditions that must be met in order to secure final approval of the application, and when possible, will outline recommended actions the sponsor might take to obtain approval of the application. The complete response letter may require additional clinical data and/or other significant and time-consuming requirements related to clinical trials, preclinical studies or manufacturing. Sponsors that receive a complete response letter may submit to the FDA information that represents a complete response to the deficiencies identified by the FDA. The FDA will then re-review the application, taking into consideration the response, and determine whether the application meets the criteria for approval. The FDA will not approve an application until issues identified in any complete response letters have been addressed. Failure to respond to a complete response letter may be considered by the FDA as a request to withdraw the application.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440"/>
          </w:cols>
          <w:pgMar w:left="900" w:top="929" w:right="900" w:bottom="371" w:gutter="0" w:footer="0" w:header="0"/>
        </w:sectPr>
      </w:pPr>
    </w:p>
    <w:bookmarkStart w:id="41" w:name="page42"/>
    <w:bookmarkEnd w:id="41"/>
    <w:p>
      <w:pPr>
        <w:spacing w:after="0" w:line="249" w:lineRule="auto"/>
        <w:rPr>
          <w:sz w:val="20"/>
          <w:szCs w:val="20"/>
          <w:color w:val="auto"/>
        </w:rPr>
      </w:pPr>
      <w:r>
        <w:rPr>
          <w:rFonts w:ascii="Times New Roman" w:cs="Times New Roman" w:eastAsia="Times New Roman" w:hAnsi="Times New Roman"/>
          <w:sz w:val="20"/>
          <w:szCs w:val="20"/>
          <w:color w:val="auto"/>
        </w:rPr>
        <w:t>The FDA may refer applications for novel products or products that present difficult questions of safety or efficacy to an advisory committee. Typically, an advisory committee is a panel of independent experts, including clinicians and other scientific experts, that reviews, evaluates and provides a recommendation as to whether the application should be approved and under what conditions, if any. The FDA is not bound by the recommendations of an advisory committee, but it considers such recommendations carefully when making decisions.</w:t>
      </w:r>
    </w:p>
    <w:p>
      <w:pPr>
        <w:spacing w:after="0" w:line="19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Even if the FDA approves a new product, the approval may be limited to specific disease states, patient populations and dosages, or the indications for use may otherwise be limited. It may also require that contraindications, warnings, or precautions be included in the product labeling. In addition, the FDA may require post-approval studies, including phase 4 clinical trials, to further assess the product’s efficacy and/or safety after approval. The agency may also require testing and surveillance programs to monitor the product after commercialization, or impose other conditions, including distribution restrictions or other risk management mechanisms, including a REMS, to help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dispensing only under certain circumstances, special monitoring and the use of patent registries. The FDA may prevent or limit further marketing of a product based on the results of post-market studies or surveillance programs. After approval, many types of changes to the approved product, such as adding new indications, certain manufacturing changes and additional labeling claims, are subject to further testing requirements and FDA review and approval.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track, breakthrough therapy and priority review designations</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FDA provides programs intended to facilitate and expedite development and review of new products that are intended to address an unmet medical need in the treatment of a serious or life-threatening disease or condition. These programs are referred to as fast track designation, breakthrough therapy designation and priority review designation. These designations are not mutually exclusive, and a product candidate may qualify for one or more of these programs. While these programs are intended to expedite product development and approval, they do not alter the standards for FDA approval.</w:t>
      </w:r>
    </w:p>
    <w:p>
      <w:pPr>
        <w:spacing w:after="0" w:line="19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products with fast track designation, sponsors may have more frequent interactions with the FDA, the product is potentially eligible for accelerated approval and priority review, if relevant criteria are met, and the FDA may initiate review of sections of a product with fast track designation’s application before the application is complete. This rolling review may be available if the FDA determines, after preliminary evaluation of clinical data submitted by the sponsor, that a product with fast track designation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208"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managers in the review process; assigning a cross-disciplinary lead for the review team; and taking other steps to design the clinical trials in an efficient manner. Breakthrough designation may be rescinded if a product no longer meets the qualifying criteria.</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400"/>
          </w:cols>
          <w:pgMar w:left="900" w:top="929" w:right="940" w:bottom="371"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b w:val="1"/>
          <w:bCs w:val="1"/>
          <w:i w:val="1"/>
          <w:iCs w:val="1"/>
          <w:color w:val="auto"/>
        </w:rPr>
        <w:t>Accelerated approval pathway</w:t>
      </w:r>
    </w:p>
    <w:p>
      <w:pPr>
        <w:spacing w:after="0" w:line="1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FDA may grant accelerated approval to a product for a serious or life-threatening condition that provides meaningful therapeutic advantage to patients over existing treatments based upon a determination that the product has an effect on a surrogate endpoint that is reasonably likely to predict clinical benefit. For the purposes of accelerated approval, a surrogate endpoint is a marker, such as a laboratory measurement, radiographic image, physical sign, or other measure that is thought to predict clinical benefit but is not itself a measure of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 Products granted accelerated approval must meet the same statutory standards for safety and effectiveness as those granted traditional approval.</w:t>
      </w:r>
    </w:p>
    <w:p>
      <w:pPr>
        <w:spacing w:after="0" w:line="20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usually contingent on a sponsor’s agreement to conduct, in a diligent manner, additional post-approval confirmatory studies to verify and describe the product’s clinical benefit.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confirm a clinical benefit during post-marketing studies or dissemination of false or misleading promotional materials would allow the FDA to withdraw the product from the market on an expedited basis. All promotional materials for therapeutic candidates approved under accelerated regulations are subject to prior review by the FDA.</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Orphan drug designation in the United States is designed to encourage sponsors to develop products intended for treatment of rare diseases or conditions. In the United States, a rare disease or condition is statutorily defined as a condition that affects fewer than 200,000 individuals in the United States or that affects 200,000 or more individuals in the United States and for which there is no reasonable expectation that the cost of developing and making available the biological product for the disease or condition will be recovered from sales of the product in the United States.</w:t>
      </w:r>
    </w:p>
    <w:p>
      <w:pPr>
        <w:spacing w:after="0" w:line="19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Orphan drug designation qualifies a sponsor for tax credits and the product for market exclusivity for seven years following the date of the product’s marketing approval if granted by the FDA. An application for designation as an orphan product can be made any time prior to the filing of an application for approval to market the product. After FDA grants orphan designation, the product must then go through the review and approval process like any other product.</w:t>
      </w:r>
    </w:p>
    <w:p>
      <w:pPr>
        <w:spacing w:after="0" w:line="19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A sponsor may request orphan drug designation of a previously unapproved product or new orphan indication for an already marketed product. In addition, a sponsor of a product that is otherwise the same product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spacing w:after="0" w:line="20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product for the same indication for seven years, except in certain limited circumstances. If a product designated as an orphan drug ultimately receives marketing approval for an indication broader than what was designated in its orphan drug application, it may not be entitled to exclusivity for that broader indication.</w:t>
      </w:r>
    </w:p>
    <w:p>
      <w:pPr>
        <w:spacing w:after="0" w:line="200"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420"/>
          </w:cols>
          <w:pgMar w:left="900" w:top="929" w:right="920" w:bottom="371"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auto"/>
        </w:rPr>
        <w:t>Pediatric exclusivity</w:t>
      </w:r>
    </w:p>
    <w:p>
      <w:pPr>
        <w:spacing w:after="0" w:line="12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Pediatric exclusivity is another type of non-patent marketing exclusivity in the United States and, if granted, provides for the attachment of an additional six months of marketing protection to the term of any existing regulatory exclusivity, including orphan exclusivity. This six-month exclusivity may be granted if a BLA sponsor submits pediatric data that fairly respond to a written request from the FDA for such data. The data do not need to show the product to be safe and effective in the pediatric population studied; rather, if the clinical trial is deemed to fairly respond to the FDA’s request, the additional protection is granted and extends whatever statutory or regulatory periods of exclusivity that cover the product by six months.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patent term extension and marketing exclusivity</w:t>
      </w:r>
    </w:p>
    <w:p>
      <w:pPr>
        <w:spacing w:after="0" w:line="12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the United States, a patent claiming a new biological product, its method of use or its method of manufacture may be eligible for a limited patent term extension under the Hatch-Waxman Act, which permits a patent extension of up to five years for patent term lost during product development and FDA regulatory review. The extension period is typically one-half the time between the effective date of the IND and the submission date of the BLA, plus the time between the submission date of the BLA and the ultimate approval date, except that the review period is reduced by any time during which the applicant failed to exercise due diligence. Patent term extension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United States Patent and Trademark Office (“USPTO”) reviews and approves the application for any patent term extension in consultation with the FDA.</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Biosimilars and exclusivity</w:t>
      </w:r>
    </w:p>
    <w:p>
      <w:pPr>
        <w:spacing w:after="0" w:line="119"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The Biologics Price Competition and Innovation Act of 2009 (“BPCIA”) established a regulatory framework authorizing the FDA to approve biosimilars and interchangeable biosimilars. A biosimilar is a biological product that is highly similar to an already FDA-licensed biological product, called the “reference product.” The FDA has issued multiple guidance documents outlining an approach to review and approval of biosimilars. Under the BPCIA, a manufacturer may submit an application for licensure of a biologic product that is “biosimilar to” or “interchangeable with” a reference product. In order for the FDA to approve a biosimilar product, it must find that there are no clinically meaningful differences between the reference product and proposed biosimilar product in terms of safety, purity and potency. For the FDA to approve a biosimilar product as interchangeable with a reference product, the agency must find that the biosimilar product can be expected to produce the same clinical results as the reference product, and (for products administered multiple times) that the biosimilar product and the reference product may be switched without increasing safety risks or risks of diminished efficacy relative to exclusive use of the reference biologic.</w:t>
      </w:r>
    </w:p>
    <w:p>
      <w:pPr>
        <w:spacing w:after="0" w:line="20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of approval of the reference product. The FDA may not approve a biosimilar product until 12 years from the date on which the reference product was approved. Even if a product is considered to be a reference product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The BPCIA also created certain exclusivity periods for biosimilars approved as interchangeable products, which may be substituted by pharmacies for the reference product, subject to state pharmacy law.</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regulation</w:t>
      </w:r>
    </w:p>
    <w:p>
      <w:pPr>
        <w:spacing w:after="0" w:line="120"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If regulatory approval for a product or new indication for an existing product is obtained, the sponsor will be required to comply with all generally applicable post-approval regulatory requirements as well as any specific post-approval requirements that the FDA may impose as part of the approval process. The sponsor will be required to report certain adverse reactions and production problems to the FDA, provide updated safety and efficacy information and comply with advertising and promotional labeling requirements and record-keeping requirements. Manufacturers and certain of their subcontractors must register their establishments with the FDA and certain state agencies and are subject to periodic unannounced inspections by the FDA and certain state agencies for compliance with ongoing regulatory requirements, including cGMP regulations. Accordingly, the sponsor and its third-party manufacturers must continue to expend time, money and effort to maintain compliance with cGMP regulations and other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440"/>
          </w:cols>
          <w:pgMar w:left="900" w:top="929" w:right="900" w:bottom="371" w:gutter="0" w:footer="0" w:header="0"/>
        </w:sectPr>
      </w:pPr>
    </w:p>
    <w:bookmarkStart w:id="44" w:name="page45"/>
    <w:bookmarkEnd w:id="44"/>
    <w:p>
      <w:pPr>
        <w:ind w:right="40"/>
        <w:spacing w:after="0" w:line="247" w:lineRule="auto"/>
        <w:rPr>
          <w:sz w:val="20"/>
          <w:szCs w:val="20"/>
          <w:color w:val="auto"/>
        </w:rPr>
      </w:pPr>
      <w:r>
        <w:rPr>
          <w:rFonts w:ascii="Times New Roman" w:cs="Times New Roman" w:eastAsia="Times New Roman" w:hAnsi="Times New Roman"/>
          <w:sz w:val="20"/>
          <w:szCs w:val="20"/>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94" w:lineRule="exact"/>
        <w:rPr>
          <w:sz w:val="20"/>
          <w:szCs w:val="20"/>
          <w:color w:val="auto"/>
        </w:rPr>
      </w:pPr>
    </w:p>
    <w:p>
      <w:pPr>
        <w:ind w:left="500" w:hanging="493"/>
        <w:spacing w:after="0"/>
        <w:tabs>
          <w:tab w:leader="none" w:pos="5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restrictions on the marketing or manufacturing of the product;</w:t>
      </w:r>
    </w:p>
    <w:p>
      <w:pPr>
        <w:spacing w:after="0" w:line="119" w:lineRule="exact"/>
        <w:rPr>
          <w:rFonts w:ascii="Symbol" w:cs="Symbol" w:eastAsia="Symbol" w:hAnsi="Symbol"/>
          <w:sz w:val="20"/>
          <w:szCs w:val="20"/>
          <w:color w:val="auto"/>
        </w:rPr>
      </w:pPr>
    </w:p>
    <w:p>
      <w:pPr>
        <w:ind w:left="500" w:hanging="493"/>
        <w:spacing w:after="0"/>
        <w:tabs>
          <w:tab w:leader="none" w:pos="5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18" w:lineRule="exact"/>
        <w:rPr>
          <w:rFonts w:ascii="Symbol" w:cs="Symbol" w:eastAsia="Symbol" w:hAnsi="Symbol"/>
          <w:sz w:val="20"/>
          <w:szCs w:val="20"/>
          <w:color w:val="auto"/>
        </w:rPr>
      </w:pPr>
    </w:p>
    <w:p>
      <w:pPr>
        <w:ind w:left="500" w:right="20" w:hanging="493"/>
        <w:spacing w:after="0" w:line="262" w:lineRule="auto"/>
        <w:tabs>
          <w:tab w:leader="none" w:pos="5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product licenses;</w:t>
      </w:r>
    </w:p>
    <w:p>
      <w:pPr>
        <w:spacing w:after="0" w:line="76" w:lineRule="exact"/>
        <w:rPr>
          <w:rFonts w:ascii="Symbol" w:cs="Symbol" w:eastAsia="Symbol" w:hAnsi="Symbol"/>
          <w:sz w:val="20"/>
          <w:szCs w:val="20"/>
          <w:color w:val="auto"/>
        </w:rPr>
      </w:pPr>
    </w:p>
    <w:p>
      <w:pPr>
        <w:ind w:left="500" w:hanging="493"/>
        <w:spacing w:after="0"/>
        <w:tabs>
          <w:tab w:leader="none" w:pos="5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product recall, seizure or detention, or refusal to permit the import or export of products;</w:t>
      </w:r>
    </w:p>
    <w:p>
      <w:pPr>
        <w:spacing w:after="0" w:line="118" w:lineRule="exact"/>
        <w:rPr>
          <w:rFonts w:ascii="Symbol" w:cs="Symbol" w:eastAsia="Symbol" w:hAnsi="Symbol"/>
          <w:sz w:val="20"/>
          <w:szCs w:val="20"/>
          <w:color w:val="auto"/>
        </w:rPr>
      </w:pPr>
    </w:p>
    <w:p>
      <w:pPr>
        <w:ind w:left="500" w:hanging="493"/>
        <w:spacing w:after="0"/>
        <w:tabs>
          <w:tab w:leader="none" w:pos="5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withdrawal of the product from the market; or</w:t>
      </w:r>
    </w:p>
    <w:p>
      <w:pPr>
        <w:spacing w:after="0" w:line="119" w:lineRule="exact"/>
        <w:rPr>
          <w:rFonts w:ascii="Symbol" w:cs="Symbol" w:eastAsia="Symbol" w:hAnsi="Symbol"/>
          <w:sz w:val="20"/>
          <w:szCs w:val="20"/>
          <w:color w:val="auto"/>
        </w:rPr>
      </w:pPr>
    </w:p>
    <w:p>
      <w:pPr>
        <w:ind w:left="500" w:hanging="493"/>
        <w:spacing w:after="0"/>
        <w:tabs>
          <w:tab w:leader="none" w:pos="500" w:val="left"/>
        </w:tabs>
        <w:numPr>
          <w:ilvl w:val="0"/>
          <w:numId w:val="23"/>
        </w:numPr>
        <w:rPr>
          <w:rFonts w:ascii="Symbol" w:cs="Symbol" w:eastAsia="Symbol" w:hAnsi="Symbol"/>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225"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The FDA strictly regulates the marketing, labeling, advertising and promotion of prescription biological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product’s safety or effectiveness are prohibited before it is approved. After approval, a product generally may be promoted for uses or patient populations consistent with the product’s prescribing information. In the United States, healthcare professionals are generally permitted to prescribe products for uses that are not approved by the FDA (sometimes called “off-label use”) because the FDA does not regulate the practice of medicine. However, FDA regulations restrict manufacturers’ communications about off-label uses. Promotional materials for approved biological products generally must be submitted to the FDA in conjunction with their first use.</w:t>
      </w:r>
    </w:p>
    <w:p>
      <w:pPr>
        <w:spacing w:after="0" w:line="204"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If a company, including any representative of the company or anyone speaking on behalf of the company, is found to have promoted off-label uses, the company may become subject to adverse public relations and administrative and judicial enforcement by the FDA, the DOJ,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its products.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Data privacy and security laws</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In the ordinary course of business, we collect, receive, or otherwise process personal data, including information we may collect about participants in our clinical trials. Accordingly, we are, or may be become, subject to numerous data privacy and security obligations, including global, federal, state, and local laws, regulations, guidance, industry standards, external and internal privacy and security policies, contractual requirements and other obligations related to privacy and data security.</w:t>
      </w:r>
    </w:p>
    <w:p>
      <w:pPr>
        <w:spacing w:after="0" w:line="19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Under the federal Health Insurance Portability and Accountability Act of 1996 (“HIPAA”), the U.S. Department of Health and Human Services (“HHS”), has issued regulations to protect the privacy and security of protected health information (“PHI”),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and their subcontractors that obtain protected health information in providing services to or on behalf of covered entities. In addition to federal privacy regulations, there are a number of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440"/>
          </w:cols>
          <w:pgMar w:left="900" w:top="929" w:right="900" w:bottom="371" w:gutter="0" w:footer="0" w:header="0"/>
        </w:sectPr>
      </w:pPr>
    </w:p>
    <w:bookmarkStart w:id="45" w:name="page46"/>
    <w:bookmarkEnd w:id="45"/>
    <w:p>
      <w:pPr>
        <w:ind w:right="120"/>
        <w:spacing w:after="0" w:line="249" w:lineRule="auto"/>
        <w:rPr>
          <w:sz w:val="20"/>
          <w:szCs w:val="20"/>
          <w:color w:val="auto"/>
        </w:rPr>
      </w:pPr>
      <w:r>
        <w:rPr>
          <w:rFonts w:ascii="Times New Roman" w:cs="Times New Roman" w:eastAsia="Times New Roman" w:hAnsi="Times New Roman"/>
          <w:sz w:val="20"/>
          <w:szCs w:val="20"/>
          <w:color w:val="auto"/>
        </w:rPr>
        <w:t>Additionally, numerous states have recently enacted consumer privacy laws that grant rights to data subjects and place increased privacy and security obligations on entities handling personal data of consumers or households. While we are not currently subject to laws such as the California Consumer Privacy Act (“CCPA”), some observers note that the CCPA and similar legislation could mark the beginning of a trend toward more stringent privacy legislation in the U.S., which could increase our potential liability and adversely affect our business.</w:t>
      </w:r>
    </w:p>
    <w:p>
      <w:pPr>
        <w:spacing w:after="0" w:line="19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the statutory exceptions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and/or reporting requirements in multiple jurisdictions could increase the possibility that we may fail to comply fully with one or more of these requirements. If our operations are found to be in violation of any applicable privacy or data security laws or regulations, we may be subject to penalties, including potentially significant criminal, civil and administrative penalties, damages, fines, imprisonment, contractual damages, reputational harm, diminished profits and future earnings, additional reporting requirements and/or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While there are some exemptions for certain data processed in the context of clinical trials, developments in data privacy and security laws may further complicate compliance efforts. The impact these increasingly stringent laws and evolving regulatory frameworks related to personal data processing may have on us is more fully discussed in the section titled “Risk factors” appearing elsewhere in this Annual Report.</w:t>
      </w:r>
    </w:p>
    <w:p>
      <w:pPr>
        <w:spacing w:after="0" w:line="213"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Additionally, to the extent we collect personal data from individuals outside of the United States, through clinical trials or otherwise, we are, or may become, subject to foreign data privacy and security laws, such as the European Union’s General Data Protection Regulation 2016/679 (“EU GDPR”) and other national data protection legislation in force in relevant EEA Member States, and the EU GDPR as it forms part UK law by virtue of section 3 of the European Union (Withdrawal) Act 2018 (“UK GDPR”). Foreign privacy and data security laws impose significant and complex compliance obligations on entities that are subject to those laws, as more fully discussed in the section titled “Risk factors” appearing elsewhere in this Annual Report.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and procedures governing approval of medicinal products outside the United States</w:t>
      </w:r>
    </w:p>
    <w:p>
      <w:pPr>
        <w:spacing w:after="0" w:line="11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For example,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European Union.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trial approval</w:t>
      </w:r>
    </w:p>
    <w:p>
      <w:pPr>
        <w:spacing w:after="0" w:line="11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In April 2014, the European Union adopted the Clinical Trials Regulation (EU) No 536/2014 (“CTR”), which entered into application on January 31, 2022 repealing and replacing the Clinical Trials Directive 2001/20/EC. The CTR is directly applicable in all European Union Member States meaning no national implementing legislation in each European Union Member State is required. The CTR aims at harmonizing and streamlining the approval of clinical trials in the European Union, simplifying adverse-event reporting procedures, improving the supervision of clinical trials and increasing their transparency. For instance, the CTR provides for a streamlined application procedure via a single-entry point and strictly defined deadlines for the assessment of clinical trial applications. Sponsors conducting clinical trials must, as in the United States, post specified clinical trial information in the European Union on the Clinical Trials Information System.</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PRIME designation in the European Union</w:t>
      </w:r>
    </w:p>
    <w:p>
      <w:pPr>
        <w:spacing w:after="0" w:line="11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PRIority MEdicines (“PRIME”), scheme is intended to encourage product development in areas of unmet medical need and is intended to support development of products representing substantial innovation reviewed under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420"/>
          </w:cols>
          <w:pgMar w:left="900" w:top="929" w:right="920" w:bottom="371" w:gutter="0" w:footer="0" w:header="0"/>
        </w:sectPr>
      </w:pPr>
    </w:p>
    <w:bookmarkStart w:id="46" w:name="page47"/>
    <w:bookmarkEnd w:id="46"/>
    <w:p>
      <w:pPr>
        <w:ind w:right="120"/>
        <w:spacing w:after="0" w:line="244" w:lineRule="auto"/>
        <w:rPr>
          <w:sz w:val="20"/>
          <w:szCs w:val="20"/>
          <w:color w:val="auto"/>
        </w:rPr>
      </w:pPr>
      <w:r>
        <w:rPr>
          <w:rFonts w:ascii="Times New Roman" w:cs="Times New Roman" w:eastAsia="Times New Roman" w:hAnsi="Times New Roman"/>
          <w:sz w:val="20"/>
          <w:szCs w:val="20"/>
          <w:color w:val="auto"/>
        </w:rPr>
        <w:t>must demonstrate the potential to address the unmet medical need by introducing new methods of therapy or improving existing ones. Products from small- and medium-sized enterprises may qualify for earlier entry into the PRIME scheme than larger companies. Many benefits accrue to sponsors of therapeutic candidates with PRIME designation, including but not limited to early and proactive regulatory dialogue with the European Medicines Agency (“EMA”), frequent discussions on clinical trial designs and other development program elements, and potentially accelerated MAA assessment once a dossier has been submitted. Importantly, a dedicated EMA contact and a rapporteur from the Committee for Medicinal Products for Human Use (“CHMP”) are typically appointed early in the PRIME scheme facilitating increased understanding of the product at the EMA’s committee level. A kick-off meeting initiates these relationships and includes a team of multidisciplinary experts at the EMA to provide guidance on the overall development and regulatory strategies. Where, during the course of development, a medicine no longer meets the eligibility criteria, support under the PRIME scheme may be withdrawn.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Marketing authorization</w:t>
      </w:r>
    </w:p>
    <w:p>
      <w:pPr>
        <w:spacing w:after="0" w:line="11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Paediatric Committee of the EMA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The respective requirements for all marketing authorization procedures are laid down in Regulation (EC) No 1901/2006, the so-called Paediatric Regulation. This requirement also applies when a company wants to add a new indication, pharmaceutical form or route of administration for a medicine that is already authorized. Products that are granted a marketing authorization with the results of the pediatric clinical trials conducted in accordance with the PIP (even where such results are negative) are eligible for six 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The centralized procedure provides for the grant of a single marketing authorization by the European Commission that is valid for all European Union Member States, as well as the countries of the EFTA Pillar of the European Economic Area (Norway, Iceland and Liechtenstein) (“EEA”). Pursuant to Regulation (EC) No. 726/2004, the centralized procedure is compulsory for specific products, including for medicines produced by certain biotechnological processes, products designated as orphan medicinal products, advanced therapy medicinal products (gene-therapy, somatic cell-therapy or tissue-engineered medicines) and products with a new active substance indicated for the treatment of certain diseases, including products for the treatment of cancer, HIV, AIDS,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 Applicants must demonstrate the quality, safety and efficacy of their products to the EMA. The CHMP provides an opinion regarding the MAA. The European Commission grants or refuses a marketing authorization in light of the opinion delivered by the EMA.</w:t>
      </w:r>
    </w:p>
    <w:p>
      <w:pPr>
        <w:spacing w:after="0" w:line="20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Under the centralized procedure, the CHMP is responsible for conducting an initial assessment of a product. The maximum timeframe for the evaluation of an MAA is 210 days, excluding clock stops when additional information or written or oral explanation is to be provided by the applicant in response to questions of the CHMP. Clock stops may extend the timeframe of evaluation of an MAA considerably beyond 210 days. Where the CHMP gives a positive opinion, the EMA provides the opinion together with supporting documentation to the European Commission, who makes the final decision to grant a marketing authorization, which is issued within 67 days of receipt of the EMA’s recommendation.</w:t>
      </w:r>
    </w:p>
    <w:p>
      <w:pPr>
        <w:spacing w:after="0" w:line="200"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Accelerated assessment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(excluding clock stops), but it is possible that the CHMP may revert to the standard time limit for the centralized procedure if it determines that it is no longer appropriate to conduct an accelerated assessment.</w:t>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400"/>
          </w:cols>
          <w:pgMar w:left="900" w:top="929" w:right="940" w:bottom="371" w:gutter="0" w:footer="0" w:header="0"/>
        </w:sectPr>
      </w:pPr>
    </w:p>
    <w:bookmarkStart w:id="47" w:name="page48"/>
    <w:bookmarkEnd w:id="47"/>
    <w:p>
      <w:pPr>
        <w:ind w:right="40"/>
        <w:spacing w:after="0" w:line="247" w:lineRule="auto"/>
        <w:rPr>
          <w:sz w:val="20"/>
          <w:szCs w:val="20"/>
          <w:color w:val="auto"/>
        </w:rPr>
      </w:pPr>
      <w:r>
        <w:rPr>
          <w:rFonts w:ascii="Times New Roman" w:cs="Times New Roman" w:eastAsia="Times New Roman" w:hAnsi="Times New Roman"/>
          <w:sz w:val="20"/>
          <w:szCs w:val="20"/>
          <w:color w:val="auto"/>
        </w:rPr>
        <w:t>National marketing authorizations, which are issued by the competent authorities of the Member States of the European Union and only cover their respective territory, are available for products not falling within the mandatory scope of the centralized procedure. Where a product has already been authorized for marketing in a Member State of the European Union, this national authorization can be recognized in other Member States through the mutual recognition procedure. If the product has not received a national authorization in any Member State at the time of application, it can be approved simultaneously in various Member States through the decentralized procedure.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data protection in the European Union</w:t>
      </w:r>
    </w:p>
    <w:p>
      <w:pPr>
        <w:spacing w:after="0" w:line="1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the European Union, new active substances (including both small molecules and biological medicinal products) approved on the basis of a complete and independent data package qualify for eight years of data exclusivity upon marketing authorization and an additional two years of market exclusivity pursuant to Regulation (EC) No 726/2004, as amended, and Directive 2001/83/EC, as amended.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European Union. During the additional two-year period of market exclusivity, a generic or biosimilar MAA can be submitted, and the innovator’s data may be referenced, but no medicinal product can be marketed until the expiration of the market exclusivity. The overall ten-year period will be extended to a maximum of eleven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active substance so that the innovator gains the prescribed period of data exclusivity, another company may market another version of the product if such company obtained marketing authorization based on an MAA with a complete and independent data package of pharmaceutical tests, preclinical tests and clinical trials.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 extensions in the European Union and other jurisdictions</w: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European Union also provides for patent term extension through supplementary protection certificates (“SPCs”). The rules and requirements for obtaining an SPC are similar to those in the United States. An SPC may extend the term of a patent for up to five years after its originally scheduled expiration date and can provide up to a maximum of fifteen years of marketing exclusivity for a product. In certain circumstances, the period of SPC protection may be extended for six additional months if a product is granted a marketing authorization in the EU with the results of the pediatric clinical trials conducted in accordance with an agreed pediatric investigation plan (even where such results are negative). Although SPCs are available throughout the European Union, sponsors must apply on a country-by-country basis. Similar patent term extension rights exist in certain other foreign jurisdictions outside the European Union.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Periods of authorization and renewals</w:t>
      </w:r>
    </w:p>
    <w:p>
      <w:pPr>
        <w:spacing w:after="0" w:line="119"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 marketing authorization is valid for five years, in principle, and it may be renewed indefinitely after five years on the basis of a re-evaluation of the risk-benefit balance by the EMA or by the competent authority of the authorizing Member State. To that end, the marketing authorization holder must provide the EMA or the competent authority with a consolidated version of the Common Technical Document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European Union market (in the case of the centralized procedure) or on the market of the authorizing Member State (in the case of a national procedure) within three years after authorization, or which is not placed on the market for a consecutive period of three years at any time during its authorization, ceases to be valid.</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requirements after marketing authorization</w:t>
      </w:r>
    </w:p>
    <w:p>
      <w:pPr>
        <w:spacing w:after="0" w:line="12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Following approval, the holder of the marketing authorization is required to comply with a range of requirements applicable to the manufacturing, marketing, promotion and sale of the medicinal product, and must adhere in strict compliance with the applicable European Union laws, regulations and guidance, including Directive 2001/83/EC, Directive (EU) 2017/157, Regulation (EC) No 726/2004 and the European Commission Guidelines for Good Manufacturing Practice.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440"/>
          </w:cols>
          <w:pgMar w:left="900" w:top="929" w:right="900" w:bottom="371" w:gutter="0" w:footer="0" w:header="0"/>
        </w:sectPr>
      </w:pPr>
    </w:p>
    <w:bookmarkStart w:id="48" w:name="page49"/>
    <w:bookmarkEnd w:id="48"/>
    <w:p>
      <w:pPr>
        <w:ind w:right="100"/>
        <w:spacing w:after="0" w:line="278" w:lineRule="auto"/>
        <w:rPr>
          <w:sz w:val="20"/>
          <w:szCs w:val="20"/>
          <w:color w:val="auto"/>
        </w:rPr>
      </w:pPr>
      <w:r>
        <w:rPr>
          <w:rFonts w:ascii="Times New Roman" w:cs="Times New Roman" w:eastAsia="Times New Roman" w:hAnsi="Times New Roman"/>
          <w:sz w:val="20"/>
          <w:szCs w:val="20"/>
          <w:color w:val="auto"/>
        </w:rPr>
        <w:t>GMP requirements and comparable requirements of other regulatory bodies in the European Union, which mandate the methods, facilities and controls used in manufacturing, processing and packing of products to assure their safety and identity.</w:t>
      </w:r>
    </w:p>
    <w:p>
      <w:pPr>
        <w:spacing w:after="0" w:line="16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Much like the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usually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European Union.</w:t>
      </w:r>
    </w:p>
    <w:p>
      <w:pPr>
        <w:spacing w:after="0" w:line="20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200"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European Union. Although general requirements for advertising and promotion of medicinal products are established under European Union directives, the details are governed by regulations in each Member State and can differ from one country to another.</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designation and exclusivity</w:t>
      </w:r>
    </w:p>
    <w:p>
      <w:pPr>
        <w:spacing w:after="0" w:line="120"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Regulation (EC) No 141/2000 and Regulation (EC) No. 847/2000 provide that a product can be designated as an orphan product by the European Commission if its sponsor can establish that the product is intended for the diagnosis, prevention or treatment of a life-threatening or chronically debilitating condition, where either (i) such condition affects not more than five in ten thousand persons in the European Union when the application is made, or (ii) without incentives it is unlikely that the marketing of the product in the European Union would generate sufficient return to justify the necessary investment in its development. For either of these conditions, the applicant must also demonstrate that there exists no satisfactory method of diagnosis, prevention or treatment of the condition in question that has been authorized in the European Union or, if such method exists, the product will be of significant benefit to those affected by that condition.</w:t>
      </w:r>
    </w:p>
    <w:p>
      <w:pPr>
        <w:spacing w:after="0" w:line="20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An orphan designation provides a number of benefits, including fee reductions, regulatory assistance and the possibility to apply for a centralized marketing authorization. Marketing authorization for an orphan product leads to a ten-year period of market exclusivity following marketing approval of the orphan product. During this market exclusivity period, the European Commission or the European Union Member States may only grant a marketing authorization to a “similar medicinal product” for the same therapeutic indication as an authorized orphan product if: (i) a second applicant can establish that its product, although similar to the authorized orphan product, is safer, more effective or otherwise clinically superior; (ii) the marketing authorization holder for the authorized orphan product consents to a second application; or (iii) the marketing authorization holder for the authorized orphan product cannot supply enough orphan medicinal product. A “similar medicinal product” is defined as a medicinal product containing a similar active substance or substances as contained in an authorized orphan medicinal product, and which is intended for the same therapeutic indication. The market exclusivity period for the authorized therapeutic indication may be reduced to six years if, at the end of the fifth year, it is established that the product no longer meets the criteria for orphan designation, including if the product is sufficiently profitable not to justify market exclusivity. Orphan designation must be requested before submitting an application for marketing approval. Orphan designation does not convey any advantage in, or shorten the duration of, the regulatory review and approval process.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aforementioned European Union rules are applicable in the EFTA Pillar of the EEA (Iceland, Liechtenstein 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420"/>
          </w:cols>
          <w:pgMar w:left="900" w:top="929" w:right="920" w:bottom="371"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i w:val="1"/>
          <w:iCs w:val="1"/>
          <w:color w:val="auto"/>
        </w:rPr>
        <w:t>Reform of the regulatory framework in the European Union</w:t>
      </w:r>
    </w:p>
    <w:p>
      <w:pPr>
        <w:spacing w:after="0" w:line="12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European Commission introduced legislative proposals in April 2023 that, if implemented, will replace the current regulatory framework in the European Union for all medicines (including those for rare diseases and for children). The European Commission provided the legislative proposals to the European Parliament and the Council of the European Union for their review and approval. In April 2024, the European Parliament adopted its position on the legislative proposals and, in June 2025, the Council of the European Union adopted its position. A common position on the text was agreed upon on December 11, 2025, in the context of subsequent inter-institutional trilogue negotiations. The proposed revisions remain to be adopted, and are not expected to become applicable before 2028.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Brexit and the regulatory framework in the United Kingdom</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Following the end of the Brexit transition period on January 1, 2021 and the implementation of the Windsor Framework on January 1, 2025, the United Kingdom (the "UK") is not generally subject to EU laws in respect of medicines. The EU laws that have been transposed into UK law through secondary legislation remain applicable in the UK; however, new legislation such as the CTR is not applicable in the UK. As of January 1, 2021, the Medicines and Healthcare products Regulatory Agency (the "MHRA") became the UK's standalone medicines and medical devices regulator. As a result of the Northern Ireland Protocol, different rules applied in Northern Ireland than in England, Wales, and Scotland (together, "Great Britain"), which continued to follow the EU regulatory regime for a period following Brexit. However,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Great Britain and Northern Ireland), and the EMA no longer has a role in UK marketing authorizations. A single UK-wide marketing authorization will be granted by the MHRA for all novel medicinal products to be sold in the UK, enabling products to be sold in a single pack and under a single authorization throughout the UK. In addition, the new arrangements require all medicines placed on the UK market to be labelled “UK Only”, indicating they are not for sale in the EU. However, although a separate authorization is now required to market medicinal products in the UK, under an international recognition procedure which was put in place by the MHRA on January 1, 2024, the MHRA may take into account decisions on the approval of a marketing authorization from the EMA (and certain other regulators) when considering an application for a UK marketing authorization. The UK regulatory framework in relation to clinical trials is governed by the Medicines for Human Use (Clinical Trials) Regulations 2004, as amended, which is derived from the (now-repealed) EU Clinical Trials Directive, as implemented into UK national law through secondary legislation. In April 2025, the UK introduced the Medicines for Human Use (Clinical Trials) (Amendment) Regulations. These changes, which will take full effect from April 2026, aim to create a streamlined, risk-proportionate system that accelerates approvals while maintaining robust safety standards.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verekitug and any potential future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20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(“CMS”), an agency within the HHS. CMS decides whether and to what extent a new medicine will be covered and reimbursed under Medicare and private payors tend to follow CMS to a substantial degree.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Factors payors consider in determining reimbursement are based on whether the product is:</w:t>
      </w:r>
    </w:p>
    <w:p>
      <w:pPr>
        <w:spacing w:after="0" w:line="134" w:lineRule="exact"/>
        <w:rPr>
          <w:sz w:val="20"/>
          <w:szCs w:val="20"/>
          <w:color w:val="auto"/>
        </w:rPr>
      </w:pPr>
    </w:p>
    <w:p>
      <w:pPr>
        <w:ind w:left="500" w:hanging="493"/>
        <w:spacing w:after="0"/>
        <w:tabs>
          <w:tab w:leader="none" w:pos="50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19" w:lineRule="exact"/>
        <w:rPr>
          <w:rFonts w:ascii="Symbol" w:cs="Symbol" w:eastAsia="Symbol" w:hAnsi="Symbol"/>
          <w:sz w:val="20"/>
          <w:szCs w:val="20"/>
          <w:color w:val="auto"/>
        </w:rPr>
      </w:pPr>
    </w:p>
    <w:p>
      <w:pPr>
        <w:ind w:left="500" w:hanging="493"/>
        <w:spacing w:after="0"/>
        <w:tabs>
          <w:tab w:leader="none" w:pos="500" w:val="left"/>
        </w:tabs>
        <w:numPr>
          <w:ilvl w:val="0"/>
          <w:numId w:val="24"/>
        </w:numPr>
        <w:rPr>
          <w:rFonts w:ascii="Symbol" w:cs="Symbol" w:eastAsia="Symbol" w:hAnsi="Symbo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440"/>
          </w:cols>
          <w:pgMar w:left="900" w:top="929" w:right="900" w:bottom="371" w:gutter="0" w:footer="0" w:header="0"/>
        </w:sectPr>
      </w:pPr>
    </w:p>
    <w:bookmarkStart w:id="50" w:name="page51"/>
    <w:bookmarkEnd w:id="50"/>
    <w:p>
      <w:pPr>
        <w:ind w:left="500" w:hanging="493"/>
        <w:spacing w:after="0"/>
        <w:tabs>
          <w:tab w:leader="none" w:pos="50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appropriate for the specific patient;</w:t>
      </w:r>
    </w:p>
    <w:p>
      <w:pPr>
        <w:spacing w:after="0" w:line="119" w:lineRule="exact"/>
        <w:rPr>
          <w:rFonts w:ascii="Symbol" w:cs="Symbol" w:eastAsia="Symbol" w:hAnsi="Symbol"/>
          <w:sz w:val="20"/>
          <w:szCs w:val="20"/>
          <w:color w:val="auto"/>
        </w:rPr>
      </w:pPr>
    </w:p>
    <w:p>
      <w:pPr>
        <w:ind w:left="500" w:hanging="493"/>
        <w:spacing w:after="0"/>
        <w:tabs>
          <w:tab w:leader="none" w:pos="50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cost-effective; and</w:t>
      </w:r>
    </w:p>
    <w:p>
      <w:pPr>
        <w:spacing w:after="0" w:line="118" w:lineRule="exact"/>
        <w:rPr>
          <w:rFonts w:ascii="Symbol" w:cs="Symbol" w:eastAsia="Symbol" w:hAnsi="Symbol"/>
          <w:sz w:val="20"/>
          <w:szCs w:val="20"/>
          <w:color w:val="auto"/>
        </w:rPr>
      </w:pPr>
    </w:p>
    <w:p>
      <w:pPr>
        <w:ind w:left="500" w:hanging="493"/>
        <w:spacing w:after="0"/>
        <w:tabs>
          <w:tab w:leader="none" w:pos="500" w:val="left"/>
        </w:tabs>
        <w:numPr>
          <w:ilvl w:val="0"/>
          <w:numId w:val="25"/>
        </w:numPr>
        <w:rPr>
          <w:rFonts w:ascii="Symbol" w:cs="Symbol" w:eastAsia="Symbol" w:hAnsi="Symbo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2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Further,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(“ASP”) and best price. Penalties may apply in some cases when such metrics are not submitted accurately and timely. Further, these prices for drugs may be reduced by mandatory discounts or rebates required by government healthcare programs.</w:t>
      </w:r>
    </w:p>
    <w:p>
      <w:pPr>
        <w:spacing w:after="0" w:line="20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and any potential future product candidates. Historically, products launched in the European Union do not follow price structures of the U.S. and generally prices tend to be significantly lower.</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healthcare laws</w:t>
      </w:r>
    </w:p>
    <w:p>
      <w:pPr>
        <w:spacing w:after="0" w:line="120" w:lineRule="exact"/>
        <w:rPr>
          <w:sz w:val="20"/>
          <w:szCs w:val="20"/>
          <w:color w:val="auto"/>
        </w:rPr>
      </w:pPr>
    </w:p>
    <w:p>
      <w:pPr>
        <w:ind w:right="440"/>
        <w:spacing w:after="0" w:line="252" w:lineRule="auto"/>
        <w:rPr>
          <w:sz w:val="20"/>
          <w:szCs w:val="20"/>
          <w:color w:val="auto"/>
        </w:rPr>
      </w:pPr>
      <w:r>
        <w:rPr>
          <w:rFonts w:ascii="Times New Roman" w:cs="Times New Roman" w:eastAsia="Times New Roman" w:hAnsi="Times New Roman"/>
          <w:sz w:val="20"/>
          <w:szCs w:val="20"/>
          <w:color w:val="auto"/>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w:t>
      </w:r>
    </w:p>
    <w:p>
      <w:pPr>
        <w:spacing w:after="0" w:line="88" w:lineRule="exact"/>
        <w:rPr>
          <w:sz w:val="20"/>
          <w:szCs w:val="20"/>
          <w:color w:val="auto"/>
        </w:rPr>
      </w:pPr>
    </w:p>
    <w:p>
      <w:pPr>
        <w:ind w:left="500" w:right="60" w:hanging="493"/>
        <w:spacing w:after="0" w:line="242" w:lineRule="auto"/>
        <w:tabs>
          <w:tab w:leader="none" w:pos="50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arrangement,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monetary penalties;</w:t>
      </w:r>
    </w:p>
    <w:p>
      <w:pPr>
        <w:spacing w:after="0" w:line="100" w:lineRule="exact"/>
        <w:rPr>
          <w:rFonts w:ascii="Symbol" w:cs="Symbol" w:eastAsia="Symbol" w:hAnsi="Symbol"/>
          <w:sz w:val="20"/>
          <w:szCs w:val="20"/>
          <w:color w:val="auto"/>
        </w:rPr>
      </w:pPr>
    </w:p>
    <w:p>
      <w:pPr>
        <w:ind w:left="500" w:hanging="493"/>
        <w:spacing w:after="0" w:line="242" w:lineRule="auto"/>
        <w:tabs>
          <w:tab w:leader="none" w:pos="50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the 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knowingly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 Manufacturers can be held liable under the federal False Claims Act even when they do not submit claims directly to government payors if they are deemed to “cause” the submission of false or fraudulent claims. The federal False Claims Act also permits a private individual acting as a “whistleblower” to bring actions on behalf of the federal government alleging violations of the federal False Claims Act and to share in any monetary recovery;</w:t>
      </w:r>
    </w:p>
    <w:p>
      <w:pPr>
        <w:spacing w:after="0" w:line="99" w:lineRule="exact"/>
        <w:rPr>
          <w:rFonts w:ascii="Symbol" w:cs="Symbol" w:eastAsia="Symbol" w:hAnsi="Symbol"/>
          <w:sz w:val="20"/>
          <w:szCs w:val="20"/>
          <w:color w:val="auto"/>
        </w:rPr>
      </w:pPr>
    </w:p>
    <w:p>
      <w:pPr>
        <w:ind w:left="500" w:right="420" w:hanging="493"/>
        <w:spacing w:after="0" w:line="251" w:lineRule="auto"/>
        <w:tabs>
          <w:tab w:leader="none" w:pos="500" w:val="left"/>
        </w:tabs>
        <w:numPr>
          <w:ilvl w:val="0"/>
          <w:numId w:val="26"/>
        </w:numPr>
        <w:rPr>
          <w:rFonts w:ascii="Symbol" w:cs="Symbol" w:eastAsia="Symbol" w:hAnsi="Symbol"/>
          <w:sz w:val="20"/>
          <w:szCs w:val="20"/>
          <w:color w:val="auto"/>
        </w:rPr>
      </w:pPr>
      <w:r>
        <w:rPr>
          <w:rFonts w:ascii="Times New Roman" w:cs="Times New Roman" w:eastAsia="Times New Roman" w:hAnsi="Times New Roman"/>
          <w:sz w:val="20"/>
          <w:szCs w:val="20"/>
          <w:color w:val="auto"/>
        </w:rPr>
        <w:t>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420"/>
          </w:cols>
          <w:pgMar w:left="900" w:top="944" w:right="920" w:bottom="371" w:gutter="0" w:footer="0" w:header="0"/>
        </w:sectPr>
      </w:pPr>
    </w:p>
    <w:bookmarkStart w:id="51" w:name="page52"/>
    <w:bookmarkEnd w:id="51"/>
    <w:p>
      <w:pPr>
        <w:ind w:left="500" w:right="180"/>
        <w:spacing w:after="0" w:line="249" w:lineRule="auto"/>
        <w:rPr>
          <w:sz w:val="20"/>
          <w:szCs w:val="20"/>
          <w:color w:val="auto"/>
        </w:rPr>
      </w:pPr>
      <w:r>
        <w:rPr>
          <w:rFonts w:ascii="Times New Roman" w:cs="Times New Roman" w:eastAsia="Times New Roman" w:hAnsi="Times New Roman"/>
          <w:sz w:val="20"/>
          <w:szCs w:val="20"/>
          <w:color w:val="auto"/>
        </w:rPr>
        <w:t>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92" w:lineRule="exact"/>
        <w:rPr>
          <w:sz w:val="20"/>
          <w:szCs w:val="20"/>
          <w:color w:val="auto"/>
        </w:rPr>
      </w:pPr>
    </w:p>
    <w:p>
      <w:pPr>
        <w:ind w:left="500" w:hanging="493"/>
        <w:spacing w:after="0" w:line="233" w:lineRule="exact"/>
        <w:tabs>
          <w:tab w:leader="none" w:pos="5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(“HITECH”) and their respective implementing regulations, including the Final Omnibus Rule published in January 2013, which impose requirements on certain covered healthcare providers, health plans, and healthcare clearinghouses as well as their respective business associates, independent contractors or agents of covered entities, that perform services for them that involve the creation, maintenance, receipt,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w:t>
      </w:r>
      <w:r>
        <w:rPr>
          <w:rFonts w:ascii="Arial Unicode MS" w:cs="Arial Unicode MS" w:eastAsia="Arial Unicode MS" w:hAnsi="Arial Unicode MS"/>
          <w:sz w:val="20"/>
          <w:szCs w:val="20"/>
          <w:color w:val="auto"/>
        </w:rPr>
        <w:t>ௗ</w:t>
      </w:r>
      <w:r>
        <w:rPr>
          <w:rFonts w:ascii="Times New Roman" w:cs="Times New Roman" w:eastAsia="Times New Roman" w:hAnsi="Times New Roman"/>
          <w:sz w:val="20"/>
          <w:szCs w:val="20"/>
          <w:color w:val="auto"/>
        </w:rPr>
        <w:t>may be additional federal, state and non-U.S. laws which govern the privacy and security of health and other personal information in certain circumstances, many of which differ from each other in significant ways and may not have the same effect, thus complicating compliance efforts;</w:t>
      </w:r>
    </w:p>
    <w:p>
      <w:pPr>
        <w:spacing w:after="0" w:line="103" w:lineRule="exact"/>
        <w:rPr>
          <w:rFonts w:ascii="Symbol" w:cs="Symbol" w:eastAsia="Symbol" w:hAnsi="Symbol"/>
          <w:sz w:val="20"/>
          <w:szCs w:val="20"/>
          <w:color w:val="auto"/>
        </w:rPr>
      </w:pPr>
    </w:p>
    <w:p>
      <w:pPr>
        <w:ind w:left="500" w:right="160" w:hanging="493"/>
        <w:spacing w:after="0" w:line="244" w:lineRule="auto"/>
        <w:tabs>
          <w:tab w:leader="none" w:pos="5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the U.S. Physician Payments Sunshine Act and its implementing regulations, which requires certain manufacturers of drugs, devices, biologics and medical supplies that are reimbursable under Medicare, Medicaid, or the Children’s Health Insurance Program, with specific exceptions, to report annually to CMS information related to certain payments and other transfers of value to physicians (defined to include doctors, dentists, optometrists, podiatrists and chiropractors), certain other licensed health care practitioners and teaching hospitals, as well as ownership and investment interests held by the physicians described above and their immediate family members;</w:t>
      </w:r>
    </w:p>
    <w:p>
      <w:pPr>
        <w:spacing w:after="0" w:line="96" w:lineRule="exact"/>
        <w:rPr>
          <w:rFonts w:ascii="Symbol" w:cs="Symbol" w:eastAsia="Symbol" w:hAnsi="Symbol"/>
          <w:sz w:val="20"/>
          <w:szCs w:val="20"/>
          <w:color w:val="auto"/>
        </w:rPr>
      </w:pPr>
    </w:p>
    <w:p>
      <w:pPr>
        <w:ind w:left="500" w:right="300" w:hanging="493"/>
        <w:spacing w:after="0" w:line="262" w:lineRule="auto"/>
        <w:tabs>
          <w:tab w:leader="none" w:pos="5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federal government price reporting laws, which require us to calculate and report complex pricing metrics in an accurate and timely manner to government programs; and</w:t>
      </w:r>
    </w:p>
    <w:p>
      <w:pPr>
        <w:spacing w:after="0" w:line="75" w:lineRule="exact"/>
        <w:rPr>
          <w:rFonts w:ascii="Symbol" w:cs="Symbol" w:eastAsia="Symbol" w:hAnsi="Symbol"/>
          <w:sz w:val="20"/>
          <w:szCs w:val="20"/>
          <w:color w:val="auto"/>
        </w:rPr>
      </w:pPr>
    </w:p>
    <w:p>
      <w:pPr>
        <w:ind w:left="500" w:right="180" w:hanging="493"/>
        <w:spacing w:after="0" w:line="262" w:lineRule="auto"/>
        <w:tabs>
          <w:tab w:leader="none" w:pos="500" w:val="left"/>
        </w:tabs>
        <w:numPr>
          <w:ilvl w:val="0"/>
          <w:numId w:val="27"/>
        </w:numPr>
        <w:rPr>
          <w:rFonts w:ascii="Symbol" w:cs="Symbol" w:eastAsia="Symbol" w:hAnsi="Symbo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customers.</w:t>
      </w:r>
    </w:p>
    <w:p>
      <w:pPr>
        <w:spacing w:after="0" w:line="182" w:lineRule="exact"/>
        <w:rPr>
          <w:sz w:val="20"/>
          <w:szCs w:val="20"/>
          <w:color w:val="auto"/>
        </w:rPr>
      </w:pPr>
    </w:p>
    <w:p>
      <w:pPr>
        <w:ind w:right="220"/>
        <w:spacing w:after="0" w:line="243" w:lineRule="auto"/>
        <w:rPr>
          <w:sz w:val="20"/>
          <w:szCs w:val="20"/>
          <w:color w:val="auto"/>
        </w:rPr>
      </w:pPr>
      <w:r>
        <w:rPr>
          <w:rFonts w:ascii="Times New Roman" w:cs="Times New Roman" w:eastAsia="Times New Roman" w:hAnsi="Times New Roman"/>
          <w:sz w:val="20"/>
          <w:szCs w:val="20"/>
          <w:color w:val="auto"/>
        </w:rPr>
        <w:t>Additionally, we are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There are ambiguities as to what is required to comply with these state requirements and if we fail to comply with an applicable state law requirement we could be subject to penalties.</w:t>
      </w:r>
    </w:p>
    <w:p>
      <w:pPr>
        <w:spacing w:after="0" w:line="20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Finally, there are state and foreign laws, including for example the European Union General Data Protection Regulation, which became effective May 2018, governing the privacy and security of health information, many of which differ from each other in significant ways and often are not preempted by HIPAA, thus complicating compliance efforts.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Healthcare reform</w:t>
      </w:r>
    </w:p>
    <w:p>
      <w:pPr>
        <w:spacing w:after="0" w:line="12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color w:val="auto"/>
        </w:rPr>
        <w:t>Payors, whether domestic or foreign, or governmental or private, are developing increasingly sophisticated methods of controlling healthcare costs and those methods are not always specifically adapted for new technologies such as gene therapy and therapies addressing rare diseases such as those we are developing. In both the United States and certain foreign jurisdictions, there have been a number of legislative and regulatory changes to the health care system that could impact our ability to sell our products profitably. For example, in the United States, in 2010 the Patient Protection and Affordable Care Act, as amended by the Health Care and Education Reconciliation Act of 2010 (collectively, the “ACA”), was enacted, which, among other things, subjected</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420"/>
          </w:cols>
          <w:pgMar w:left="900" w:top="929" w:right="920" w:bottom="371" w:gutter="0" w:footer="0" w:header="0"/>
        </w:sectPr>
      </w:pPr>
    </w:p>
    <w:bookmarkStart w:id="52" w:name="page53"/>
    <w:bookmarkEnd w:id="52"/>
    <w:p>
      <w:pPr>
        <w:ind w:right="180"/>
        <w:spacing w:after="0" w:line="246" w:lineRule="auto"/>
        <w:rPr>
          <w:sz w:val="20"/>
          <w:szCs w:val="20"/>
          <w:color w:val="auto"/>
        </w:rPr>
      </w:pPr>
      <w:r>
        <w:rPr>
          <w:rFonts w:ascii="Times New Roman" w:cs="Times New Roman" w:eastAsia="Times New Roman" w:hAnsi="Times New Roman"/>
          <w:sz w:val="20"/>
          <w:szCs w:val="20"/>
          <w:color w:val="auto"/>
        </w:rPr>
        <w:t>biologic products to potential competition by lower-cost biosimilars;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Medicare Part D coverage gap discount program, in which manufacturers must agree to offer 70% point- 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legislative changes have been proposed and adopted in the United States since the ACA was enacted:</w:t>
      </w:r>
    </w:p>
    <w:p>
      <w:pPr>
        <w:spacing w:after="0" w:line="134" w:lineRule="exact"/>
        <w:rPr>
          <w:sz w:val="20"/>
          <w:szCs w:val="20"/>
          <w:color w:val="auto"/>
        </w:rPr>
      </w:pPr>
    </w:p>
    <w:p>
      <w:pPr>
        <w:ind w:left="500" w:right="200" w:hanging="493"/>
        <w:spacing w:after="0" w:line="245" w:lineRule="auto"/>
        <w:tabs>
          <w:tab w:leader="none" w:pos="50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The Budget Control Act of 2011 and subsequence legislation, among other things, created measures for spending reductions by Congress that include aggregate reductions of Medicare payments to providers of 2% per fiscal year, which remain in effect through 2032. The U.S. American Taxpayer Relief Act of 2012 further reduced Medicare payments to several types of providers and increased the statute of limitations period for the government to recover overpayments to providers from three to five years.</w:t>
      </w:r>
    </w:p>
    <w:p>
      <w:pPr>
        <w:spacing w:after="0" w:line="96" w:lineRule="exact"/>
        <w:rPr>
          <w:rFonts w:ascii="Symbol" w:cs="Symbol" w:eastAsia="Symbol" w:hAnsi="Symbol"/>
          <w:sz w:val="20"/>
          <w:szCs w:val="20"/>
          <w:color w:val="auto"/>
        </w:rPr>
      </w:pPr>
    </w:p>
    <w:p>
      <w:pPr>
        <w:ind w:left="500" w:right="20" w:hanging="493"/>
        <w:spacing w:after="0" w:line="250" w:lineRule="auto"/>
        <w:tabs>
          <w:tab w:leader="none" w:pos="50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On April 13, 2017, CMS, an agency within the HHS,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90" w:lineRule="exact"/>
        <w:rPr>
          <w:rFonts w:ascii="Symbol" w:cs="Symbol" w:eastAsia="Symbol" w:hAnsi="Symbol"/>
          <w:sz w:val="20"/>
          <w:szCs w:val="20"/>
          <w:color w:val="auto"/>
        </w:rPr>
      </w:pPr>
    </w:p>
    <w:p>
      <w:pPr>
        <w:ind w:left="500" w:right="20" w:hanging="493"/>
        <w:spacing w:after="0" w:line="245" w:lineRule="auto"/>
        <w:tabs>
          <w:tab w:leader="none" w:pos="500" w:val="left"/>
        </w:tabs>
        <w:numPr>
          <w:ilvl w:val="0"/>
          <w:numId w:val="28"/>
        </w:numPr>
        <w:rPr>
          <w:rFonts w:ascii="Symbol" w:cs="Symbol" w:eastAsia="Symbol" w:hAnsi="Symbol"/>
          <w:sz w:val="20"/>
          <w:szCs w:val="20"/>
          <w:color w:val="auto"/>
        </w:rPr>
      </w:pPr>
      <w:r>
        <w:rPr>
          <w:rFonts w:ascii="Times New Roman" w:cs="Times New Roman" w:eastAsia="Times New Roman" w:hAnsi="Times New Roman"/>
          <w:sz w:val="20"/>
          <w:szCs w:val="20"/>
          <w:color w:val="auto"/>
        </w:rPr>
        <w:t>On March 11, 2021, President Biden signed the American Rescue Plan Act of 2021 into law, which eliminated the statutory Medicaid drug rebate cap, set at 100% of a drug’s average manufacturer price, for single source and innovator multiple source drugs, beginning January 1, 2024. These laws and regulations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spacing w:after="0" w:line="20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These laws and regulations may result in additional reductions in Medicare and other healthcare funding and otherwise affect the prices we may obtain for verekitug and any potential future product candidates for which we may obtain regulatory approval or the frequency with which verekitug or any potential future product candidates is prescribed or used.</w:t>
      </w:r>
    </w:p>
    <w:p>
      <w:pPr>
        <w:spacing w:after="0" w:line="18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Additionally, there has been increasing legislative and enforcement interest in the U.S.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w:t>
      </w:r>
    </w:p>
    <w:p>
      <w:pPr>
        <w:spacing w:after="0" w:line="19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In August 2022, the Inflation Reduction Act of 2022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 until January 1, 2032 the implementation of the HHS rebate rule that would have limited the fees that pharmacy benefit managers can charge. Further, under the IRA, orphan drugs are exempted from the Medicare drug price negotiation program, but only if they have one orphan designation and for which the only approved indication is for that disease or condition.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20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At a federal level, President Trump reversed some of President Biden’s executive orders including rescinding Executive Order 14087 entitled “Lowering Prescription Drug Costs for Americans." President Trump may issue new executive orders designed to impact drug pricing. A number of these and other proposed measures may require authorization through additional legislation to become effective. Congress and the Trump Administration have indicated that they will continue to seek new legislative measures to control drug costs.</w:t>
      </w:r>
    </w:p>
    <w:p>
      <w:pPr>
        <w:spacing w:after="0" w:line="197"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420"/>
          </w:cols>
          <w:pgMar w:left="900" w:top="929" w:right="920" w:bottom="371" w:gutter="0" w:footer="0" w:header="0"/>
        </w:sectPr>
      </w:pPr>
    </w:p>
    <w:bookmarkStart w:id="53" w:name="page54"/>
    <w:bookmarkEnd w:id="53"/>
    <w:p>
      <w:pPr>
        <w:ind w:right="20"/>
        <w:spacing w:after="0" w:line="243" w:lineRule="auto"/>
        <w:rPr>
          <w:sz w:val="20"/>
          <w:szCs w:val="20"/>
          <w:color w:val="auto"/>
        </w:rPr>
      </w:pPr>
      <w:r>
        <w:rPr>
          <w:rFonts w:ascii="Times New Roman" w:cs="Times New Roman" w:eastAsia="Times New Roman" w:hAnsi="Times New Roman"/>
          <w:sz w:val="20"/>
          <w:szCs w:val="20"/>
          <w:color w:val="auto"/>
        </w:rPr>
        <w:t>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(“MFN”)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MFN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pricing rule enacted under the first Trump Administration was subject to an injunction resulting from judicial challenges to the rule, which was formally rescinded by the former Biden Administration in August 2021.</w:t>
      </w:r>
    </w:p>
    <w:p>
      <w:pPr>
        <w:spacing w:after="0" w:line="20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spacing w:after="0" w:line="206"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Certain states are also pursuing cost containment efforts through Prescription Drug Affordability Boards (“PDABs”) and similar entities. While many PDABs have been granted authority to promote drug price transparency and reporting, some states have granted PDABs more expansive authority, including to set Upper Payment Limits (“UPLs”) on select, high price drugs. The adoption and implementation of UPLs may put downward pressure on drug prices and impact our company’s future revenues. In addition, regional healthcare authorities and individual hospitals are increasingly using bidding procedures to determine what pharmaceutical products and which suppliers will be included in their prescription drug and other healthcare programs.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2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 of March 20, 2026, we had 75 full-time employees, 22 of which have M.D. or Ph.D. degrees, and seven full -time consultants. Within our workforce, 56 employees are engaged in research and development activities and 19 are engaged in business development, finance, legal, and general management and administration activities. Our human capital objectives include identifying, recruiting, retaining, incentivizing and integrating our existing and new employees, advisors and consultants. None of our employees are represented by a labor union or covered by a collective bargaining agreement. We consider our relationship with our employees to be good.</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Our corporate headquarters is presently located in Waltham, Massachusetts, where we lease and occupy 16,801 square feet of office space. The initial term of the lease expires on November 1, 2027, with an option to extend the lease for an additional three years thereafter.</w:t>
      </w:r>
    </w:p>
    <w:p>
      <w:pPr>
        <w:spacing w:after="0" w:line="188" w:lineRule="exact"/>
        <w:rPr>
          <w:sz w:val="20"/>
          <w:szCs w:val="20"/>
          <w:color w:val="auto"/>
        </w:rPr>
      </w:pPr>
    </w:p>
    <w:p>
      <w:pPr>
        <w:ind w:right="800"/>
        <w:spacing w:after="0" w:line="258" w:lineRule="auto"/>
        <w:rPr>
          <w:sz w:val="20"/>
          <w:szCs w:val="20"/>
          <w:color w:val="auto"/>
        </w:rPr>
      </w:pPr>
      <w:r>
        <w:rPr>
          <w:rFonts w:ascii="Times New Roman" w:cs="Times New Roman" w:eastAsia="Times New Roman" w:hAnsi="Times New Roman"/>
          <w:sz w:val="20"/>
          <w:szCs w:val="20"/>
          <w:color w:val="auto"/>
        </w:rPr>
        <w:t>We believe that our leased premises are sufficient for our needs. To meet the future needs of our business, we may lease additional or alternate space, and we believe suitable additional or alternative space will be available in the future on commercially reasonable terms.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420"/>
          </w:cols>
          <w:pgMar w:left="900" w:top="929" w:right="920" w:bottom="371"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3"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We were incorporated under the laws of the State of Delaware on April 21, 2021 under the name “Upstream Bio, Inc.” Our principal corporate office is located at 890 Winter Street, Suite 200, Waltham, MA 02451, and our telephone number is (781) 208-2466. Our website address is www.upstreambio.com. We do not incorporate the information on or accessible through our website into this Annual Report, and you should not consider any information on, or that can be accessed through, our website as part of this Annual Report.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4"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Our Annual Reports on Form 10-K, Quarterly Reports on Form 10-Q, Current Reports on Form 8-K, including exhibits, proxy and information statements and amendments to those reports filed or furnished pursuant to Sections 13(a), 14, and 15(d) of the Securities Exchange Act of 1934, as amended, are available through the “Investors” page of our website free of charge as soon as reasonably practicable after we electronically file such material with, or furnish it to, the Securities and Exchange Commission (the “SEC”). Information on our website is not part of this Annual Report or any of our other securities filings unless specifically incorporated herein by reference. In addition, our filings with the SEC may be accessed through the SEC’s Interactive Data Electronic Applications system at 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86"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20"/>
          <w:szCs w:val="20"/>
          <w:color w:val="auto"/>
        </w:rPr>
        <w:t>Our code of business conduct and ethics, corporate governance guidelines and the charters of our Audit Committee, Compensation Committee and Nominating and Corporate Governance Committee are available on our corporate website.</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i w:val="1"/>
          <w:iCs w:val="1"/>
          <w:color w:val="auto"/>
        </w:rPr>
        <w:t>Our business involves significant risks. Investors should carefully consider the risks and uncertainties described below, as well as the other information in this Annual Report on Form 10-K (this “Annual Report”) and in the other documents that we file with the Securities and Exchange Commission (the “SEC”).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investors could lose all or part of their investment.</w:t>
      </w:r>
    </w:p>
    <w:p>
      <w:pPr>
        <w:spacing w:after="0" w:line="200"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i w:val="1"/>
          <w:iCs w:val="1"/>
          <w:color w:val="auto"/>
        </w:rPr>
        <w:t>This Annual Report also contains forward-looking statements and estimates that involve risks and uncertainties not presently known to us or that we currently deem immaterial, which also may impair our business operations. See “Special Note Regarding Forward-Looking Statements” elsewhere in this Annual Report for more information. Our actual results could differ materially from those anticipated in our forward-looking statements as a result of specific factors, including the risks and uncertainties described below.</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limited operating history, financial condition and need for additional capital</w:t>
      </w:r>
    </w:p>
    <w:p>
      <w:pPr>
        <w:spacing w:after="0" w:line="12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a clinical-stage biopharmaceutical company with a limited operating history, which may make it difficult to evaluate our current business and predict our future success and viability. We have incurred significant financial losses since our inception and anticipate that we will continue to incur significant financial losses for the foreseeable future.</w:t>
      </w:r>
    </w:p>
    <w:p>
      <w:pPr>
        <w:spacing w:after="0" w:line="68"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We are a clinical-stage biopharmaceutical company with a limited operating history. We were formed in April 2021 and our operations to date have been limited to pre-commercial activities. We have not yet demonstrated an ability to generate revenues, obtain regulatory approvals, manufacture any product on a commercial scale or arrange for a third party to do so on our behalf or conduct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420"/>
          </w:cols>
          <w:pgMar w:left="900" w:top="925" w:right="920" w:bottom="371" w:gutter="0" w:footer="0" w:header="0"/>
        </w:sectPr>
      </w:pPr>
    </w:p>
    <w:bookmarkStart w:id="55" w:name="page56"/>
    <w:bookmarkEnd w:id="55"/>
    <w:p>
      <w:pPr>
        <w:ind w:right="460"/>
        <w:spacing w:after="0" w:line="278" w:lineRule="auto"/>
        <w:rPr>
          <w:sz w:val="20"/>
          <w:szCs w:val="20"/>
          <w:color w:val="auto"/>
        </w:rPr>
      </w:pPr>
      <w:r>
        <w:rPr>
          <w:rFonts w:ascii="Times New Roman" w:cs="Times New Roman" w:eastAsia="Times New Roman" w:hAnsi="Times New Roman"/>
          <w:sz w:val="20"/>
          <w:szCs w:val="20"/>
          <w:color w:val="auto"/>
        </w:rPr>
        <w:t>demonstrated an ability to successfully overcome such risks and difficulties. If we do not address these risks and difficulties successfully, our business will suffer.</w:t>
      </w:r>
    </w:p>
    <w:p>
      <w:pPr>
        <w:spacing w:after="0" w:line="16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We have no products approved for commercial sale and have not generated any revenue from product sales to date. Verekitug is currently our only product candidate. We will continue to incur significant research and development and other expenses related to our preclinical and clinical development of verekitug and ongoing operations. As a result, we are not profitable and have incurred losses in each period since our inception. Net losses and negative cash flows have had, and will continue to have, an adverse effect on our stockholders’ equity and working capital. Our net losses totaled $143.4 million and $62.8 million for the years ended December 31, 2025 and 2024, respectively. As of December 31, 2025, we had an accumulated deficit of $334.2 million. We expect to continue to incur significant losses for the foreseeable future, and we expect these losses to increase as we continue our research and development of, and seek regulatory approvals for, verekitug in multiple indications.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anticipate that our expenses will increase substantially if, and as, we:</w:t>
      </w:r>
    </w:p>
    <w:p>
      <w:pPr>
        <w:spacing w:after="0" w:line="120" w:lineRule="exact"/>
        <w:rPr>
          <w:sz w:val="20"/>
          <w:szCs w:val="20"/>
          <w:color w:val="auto"/>
        </w:rPr>
      </w:pPr>
    </w:p>
    <w:p>
      <w:pPr>
        <w:ind w:left="500" w:hanging="493"/>
        <w:spacing w:after="0"/>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advance verekitug through clinical development;</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approvals for verekitug in indications for which clinical trials are successful;</w:t>
      </w:r>
    </w:p>
    <w:p>
      <w:pPr>
        <w:spacing w:after="0" w:line="120" w:lineRule="exact"/>
        <w:rPr>
          <w:rFonts w:ascii="Arial" w:cs="Arial" w:eastAsia="Arial" w:hAnsi="Arial"/>
          <w:sz w:val="20"/>
          <w:szCs w:val="20"/>
          <w:color w:val="auto"/>
        </w:rPr>
      </w:pPr>
    </w:p>
    <w:p>
      <w:pPr>
        <w:ind w:left="500" w:right="980" w:hanging="493"/>
        <w:spacing w:after="0" w:line="277" w:lineRule="auto"/>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hire additional clinical, quality control, medical, scientific and other technical personnel to support the ongoing development of verekitug;</w:t>
      </w:r>
    </w:p>
    <w:p>
      <w:pPr>
        <w:spacing w:after="0" w:line="48" w:lineRule="exact"/>
        <w:rPr>
          <w:rFonts w:ascii="Arial" w:cs="Arial" w:eastAsia="Arial" w:hAnsi="Arial"/>
          <w:sz w:val="20"/>
          <w:szCs w:val="20"/>
          <w:color w:val="auto"/>
        </w:rPr>
      </w:pPr>
    </w:p>
    <w:p>
      <w:pPr>
        <w:ind w:left="500" w:hanging="493"/>
        <w:spacing w:after="0" w:line="277" w:lineRule="auto"/>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 increase in headcount as we expand our research and development organization and market development and pre-commercial planning activities;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undertake any pre-commercial or commercial activities required to establish sales, marketing and distribution capabilities;</w:t>
      </w:r>
    </w:p>
    <w:p>
      <w:pPr>
        <w:spacing w:after="0" w:line="119" w:lineRule="exact"/>
        <w:rPr>
          <w:rFonts w:ascii="Arial" w:cs="Arial" w:eastAsia="Arial" w:hAnsi="Arial"/>
          <w:sz w:val="20"/>
          <w:szCs w:val="20"/>
          <w:color w:val="auto"/>
        </w:rPr>
      </w:pPr>
    </w:p>
    <w:p>
      <w:pPr>
        <w:ind w:left="500" w:right="420" w:hanging="493"/>
        <w:spacing w:after="0" w:line="277" w:lineRule="auto"/>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seek to identify, acquire and develop additional product candidates, including through business development efforts to invest in or in-license other technologies or product candidates;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19" w:lineRule="exact"/>
        <w:rPr>
          <w:rFonts w:ascii="Arial" w:cs="Arial" w:eastAsia="Arial" w:hAnsi="Arial"/>
          <w:sz w:val="20"/>
          <w:szCs w:val="20"/>
          <w:color w:val="auto"/>
        </w:rPr>
      </w:pPr>
    </w:p>
    <w:p>
      <w:pPr>
        <w:ind w:left="500" w:right="740" w:hanging="493"/>
        <w:spacing w:after="0" w:line="277" w:lineRule="auto"/>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make milestone, royalty or other payments due under our license agreements and any potential future in-license or collaboration agreements; and</w:t>
      </w:r>
    </w:p>
    <w:p>
      <w:pPr>
        <w:spacing w:after="0" w:line="48" w:lineRule="exact"/>
        <w:rPr>
          <w:rFonts w:ascii="Arial" w:cs="Arial" w:eastAsia="Arial" w:hAnsi="Arial"/>
          <w:sz w:val="20"/>
          <w:szCs w:val="20"/>
          <w:color w:val="auto"/>
        </w:rPr>
      </w:pPr>
    </w:p>
    <w:p>
      <w:pPr>
        <w:ind w:left="500" w:right="300" w:hanging="493"/>
        <w:spacing w:after="0" w:line="278" w:lineRule="auto"/>
        <w:tabs>
          <w:tab w:leader="none" w:pos="50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make milestone, royalty, interest or other payments due under any potential future financing or other arrangements with third parties.</w:t>
      </w:r>
    </w:p>
    <w:p>
      <w:pPr>
        <w:spacing w:after="0" w:line="167" w:lineRule="exact"/>
        <w:rPr>
          <w:sz w:val="20"/>
          <w:szCs w:val="20"/>
          <w:color w:val="auto"/>
        </w:rPr>
      </w:pPr>
    </w:p>
    <w:p>
      <w:pPr>
        <w:ind w:right="140"/>
        <w:spacing w:after="0" w:line="244" w:lineRule="auto"/>
        <w:rPr>
          <w:sz w:val="20"/>
          <w:szCs w:val="20"/>
          <w:color w:val="auto"/>
        </w:rPr>
      </w:pPr>
      <w:r>
        <w:rPr>
          <w:rFonts w:ascii="Times New Roman" w:cs="Times New Roman" w:eastAsia="Times New Roman" w:hAnsi="Times New Roman"/>
          <w:sz w:val="20"/>
          <w:szCs w:val="20"/>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and become commercially viable, and therefore any investment in us is highly speculative. Accordingly, before making an investment in us, our prospects, factoring in the costs, uncertainties, delays and difficulties frequently encountered by companies in clinical development, especially clinical-stage biopharmaceutical companies such as ours, should be carefully considered. Any predictions about our future success or viability may not be as accurate as they would otherwise be if we had a longer operating history or a history of successfully developing and commercializing pharmaceutical products. We may encounter unforeseen expenses, difficulties, complications, delays and other known or unknown factors in achieving our business objectives.</w:t>
      </w:r>
    </w:p>
    <w:p>
      <w:pPr>
        <w:spacing w:after="0" w:line="206"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Additionally, our expenses could increase beyond our expectations if we are required by the U.S. Food and Drug Administration (“FDA”), the European Medicines Agency (“EMA”), the European Commission, or other comparable foreign regulatory authorities to perform clinical trials in addition to those that we currently expect, or if there are any delays in establishing or maintaining appropriate manufacturing arrangements for our clinical trials or in the development of verekitug or any potential future product candidates.</w:t>
      </w:r>
    </w:p>
    <w:p>
      <w:pPr>
        <w:spacing w:after="0" w:line="31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6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Developing biopharmaceutical products, including conducting preclinical studies and clinical trials, is a time-consuming, expensive and uncertain process that takes years to complete. We expect our expenses to continue to increase in connection with our ongoing activities, particularly as we conduct clinical trials of, and seek regulatory and marketing approval for, verekitug in multiple indications. Even if verekitug or our potential future product candidates are approved for commercial sale, we anticipate incurring significant costs associated with commercializing any approved product candidate. To date, we have funded our</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380"/>
          </w:cols>
          <w:pgMar w:left="900" w:top="929" w:right="960" w:bottom="371" w:gutter="0" w:footer="0" w:header="0"/>
        </w:sectPr>
      </w:pPr>
    </w:p>
    <w:bookmarkStart w:id="56" w:name="page57"/>
    <w:bookmarkEnd w:id="56"/>
    <w:p>
      <w:pPr>
        <w:ind w:right="240"/>
        <w:spacing w:after="0" w:line="259" w:lineRule="auto"/>
        <w:rPr>
          <w:sz w:val="20"/>
          <w:szCs w:val="20"/>
          <w:color w:val="auto"/>
        </w:rPr>
      </w:pPr>
      <w:r>
        <w:rPr>
          <w:rFonts w:ascii="Times New Roman" w:cs="Times New Roman" w:eastAsia="Times New Roman" w:hAnsi="Times New Roman"/>
          <w:sz w:val="20"/>
          <w:szCs w:val="20"/>
          <w:color w:val="auto"/>
        </w:rPr>
        <w:t>operations principally through private financings, our initial public offering (“IPO”), which closed in October 2024. We expect our expenses to increase in connection with our ongoing activities, particularly as we continue the clinical development of verekitug, and commence additional clinical trials.</w:t>
      </w:r>
    </w:p>
    <w:p>
      <w:pPr>
        <w:spacing w:after="0" w:line="18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As of December 31, 2025, we had cash, cash equivalents and short-term investments in the amount of $341.5 million. Based upon our current operating plan, we believe that our existing cash, cash equivalents and short-term investments will be sufficient to fund our operating expenses and capital expenditure requirements through 2027. We have based this estimate on assumptions that may prove to be wrong, and we could expend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verekitug. Our future capital requirements will depend on many factors, including but not limited to:</w:t>
      </w:r>
    </w:p>
    <w:p>
      <w:pPr>
        <w:spacing w:after="0" w:line="83" w:lineRule="exact"/>
        <w:rPr>
          <w:sz w:val="20"/>
          <w:szCs w:val="20"/>
          <w:color w:val="auto"/>
        </w:rPr>
      </w:pPr>
    </w:p>
    <w:p>
      <w:pPr>
        <w:ind w:left="500" w:right="300" w:hanging="493"/>
        <w:spacing w:after="0" w:line="277"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timing, progress, costs and results of the ongoing development of verekitug as well as for potential discovery, preclinical development and clinical trials for other potential future product candidates;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clinical trials required for regulatory approval of verekitug or our potential future product candidates;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timing and outcome of regulatory review of verekitug or our potential future product candidates;</w:t>
      </w:r>
    </w:p>
    <w:p>
      <w:pPr>
        <w:spacing w:after="0" w:line="120" w:lineRule="exact"/>
        <w:rPr>
          <w:rFonts w:ascii="Arial" w:cs="Arial" w:eastAsia="Arial" w:hAnsi="Arial"/>
          <w:sz w:val="20"/>
          <w:szCs w:val="20"/>
          <w:color w:val="auto"/>
        </w:rPr>
      </w:pPr>
    </w:p>
    <w:p>
      <w:pPr>
        <w:ind w:left="500" w:right="180" w:hanging="493"/>
        <w:spacing w:after="0" w:line="277"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 of manufacturing clinical and commercial supplies of verekitug or our potential future product candidates;</w:t>
      </w:r>
    </w:p>
    <w:p>
      <w:pPr>
        <w:spacing w:after="0" w:line="119" w:lineRule="exact"/>
        <w:rPr>
          <w:rFonts w:ascii="Arial" w:cs="Arial" w:eastAsia="Arial" w:hAnsi="Arial"/>
          <w:sz w:val="20"/>
          <w:szCs w:val="20"/>
          <w:color w:val="auto"/>
        </w:rPr>
      </w:pPr>
    </w:p>
    <w:p>
      <w:pPr>
        <w:jc w:val="both"/>
        <w:ind w:left="500" w:right="400" w:hanging="493"/>
        <w:spacing w:after="0" w:line="259"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5"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approach to identifying target patient populations;</w:t>
      </w:r>
    </w:p>
    <w:p>
      <w:pPr>
        <w:spacing w:after="0" w:line="119" w:lineRule="exact"/>
        <w:rPr>
          <w:rFonts w:ascii="Arial" w:cs="Arial" w:eastAsia="Arial" w:hAnsi="Arial"/>
          <w:sz w:val="20"/>
          <w:szCs w:val="20"/>
          <w:color w:val="auto"/>
        </w:rPr>
      </w:pPr>
    </w:p>
    <w:p>
      <w:pPr>
        <w:ind w:left="500" w:right="80" w:hanging="493"/>
        <w:spacing w:after="0" w:line="259"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65" w:lineRule="exact"/>
        <w:rPr>
          <w:rFonts w:ascii="Arial" w:cs="Arial" w:eastAsia="Arial" w:hAnsi="Arial"/>
          <w:sz w:val="20"/>
          <w:szCs w:val="20"/>
          <w:color w:val="auto"/>
        </w:rPr>
      </w:pPr>
    </w:p>
    <w:p>
      <w:pPr>
        <w:ind w:left="500" w:right="140" w:hanging="493"/>
        <w:spacing w:after="0" w:line="277"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future commercialization activities, including manufacturing, marketing, sales and distribution, for verekitug or any other potential future product candidates for which we receive marketing approval;</w:t>
      </w:r>
    </w:p>
    <w:p>
      <w:pPr>
        <w:spacing w:after="0" w:line="48" w:lineRule="exact"/>
        <w:rPr>
          <w:rFonts w:ascii="Arial" w:cs="Arial" w:eastAsia="Arial" w:hAnsi="Arial"/>
          <w:sz w:val="20"/>
          <w:szCs w:val="20"/>
          <w:color w:val="auto"/>
        </w:rPr>
      </w:pPr>
    </w:p>
    <w:p>
      <w:pPr>
        <w:ind w:left="500" w:right="100" w:hanging="493"/>
        <w:spacing w:after="0" w:line="277"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revenue, if any, received from commercial sales of verekitug or any other potential future product candidates for which we receive marketing approval;</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expenses to attract, hire and retain skilled personnel;</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of operating as a public company;</w:t>
      </w:r>
    </w:p>
    <w:p>
      <w:pPr>
        <w:spacing w:after="0" w:line="120" w:lineRule="exact"/>
        <w:rPr>
          <w:rFonts w:ascii="Arial" w:cs="Arial" w:eastAsia="Arial" w:hAnsi="Arial"/>
          <w:sz w:val="20"/>
          <w:szCs w:val="20"/>
          <w:color w:val="auto"/>
        </w:rPr>
      </w:pPr>
    </w:p>
    <w:p>
      <w:pPr>
        <w:ind w:left="500" w:right="1140" w:hanging="493"/>
        <w:spacing w:after="0" w:line="277" w:lineRule="auto"/>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 commercially viable pricing structure and obtain approval for coverage and adequate reimbursement from third-party and government payors;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macroeconomic trends including inflation and rising interest rates;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addressing any potential supply chain interruptions or delays;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 of competing technological and market developments; and</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we acquire or invest in business, products and technologies.</w:t>
      </w:r>
    </w:p>
    <w:p>
      <w:pPr>
        <w:spacing w:after="0" w:line="24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research and development of product candidates, we are unable to predict the timing or amount of our working capital requirements. In addition, if we obtain regulatory approval for verekitug or any other potential future product candidates, we expect to incur significant commercialization expenses related to product manufacturing, marketing, sales and distribution which make it difficult to predict when or if we will be able to achieve or maintain profitability. Furthermore, we have incurred and expect to continue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420"/>
          </w:cols>
          <w:pgMar w:left="900" w:top="929" w:right="920" w:bottom="371" w:gutter="0" w:footer="0" w:header="0"/>
        </w:sectPr>
      </w:pPr>
    </w:p>
    <w:bookmarkStart w:id="57" w:name="page58"/>
    <w:bookmarkEnd w:id="57"/>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rights to verekitug or any other potential future product candidates.</w:t>
      </w:r>
    </w:p>
    <w:p>
      <w:pPr>
        <w:spacing w:after="0" w:line="4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operations with our existing cash, cash equivalents and short-term investments,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the ownership interests of our stockholders will be diluted, and the terms of these securities may include liquidation or other preferences that adversely affect the rights of our stockholders.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w:t>
      </w:r>
    </w:p>
    <w:p>
      <w:pPr>
        <w:spacing w:after="0" w:line="20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If we raise additional funds through collaborations, strategic alliances or marketing, distribution or licensing arrangements with third parties, we may have to relinquish valuable rights to our intellectual property, technologies, future revenue streams or verekitug or any other potential future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financial condition, results of operations and growth prospects.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4" w:lineRule="exact"/>
        <w:rPr>
          <w:sz w:val="20"/>
          <w:szCs w:val="20"/>
          <w:color w:val="auto"/>
        </w:rPr>
      </w:pPr>
    </w:p>
    <w:p>
      <w:pPr>
        <w:ind w:right="34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Verekitug is our only product candidate, and we are dependent on a third party having accurately generated, collected and reported data from certain preclinical studies that were previously conducted for verekitug.</w:t>
      </w:r>
    </w:p>
    <w:p>
      <w:pPr>
        <w:spacing w:after="0" w:line="4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We currently have a single product candidate, verekitug, which is in clinical development for the treatment of severe asthma, chronic rhinosinusitis with nasal polyps (“CRSwNP”), and chronic obstructive pulmonary disease (“COPD”). Our business presently depends entirely on our ability to successfully develop, obtain regulatory approval for, and commercialize verekitug for one or more of the indications that we are pursuing in a timely manner. This may make an investment in our company riskier than similar companies that have multiple product candidates in active development and may be able to better sustain the delay or failure of a lead product candidate.</w:t>
      </w:r>
    </w:p>
    <w:p>
      <w:pPr>
        <w:spacing w:after="0" w:line="20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addition, our assumptions about verekitug’s development potential are partially based on data generated from preclinical studies conducted by Astellas Pharma, Inc. (“Astellas”), which sold the rights to verekitug to us pursuant to an asset purchase agreement in October 2021. We are dependent on Astellas having conducted its research and development in accordance with the applicable protocols, informed consent, legal and regulatory requirements, and scientific standards; having accurately reported the results of all preclinical studies conducted with respect to verekitug and having correctly collected the data from these studies. If these activities were not compliant, accurate or correct, the clinical development, regulatory approval or commercialization of verekitug will be adversely affected. Furthermore, we may observe materially and adversely different results as we continue to conduct our clinical trials. If we are unable to develop, receive marketing approval for and successfully commercialize verekitug, or if we experience delays as a result of any of the above factors or otherwise, our business would be significantly harmed.</w:t>
      </w:r>
    </w:p>
    <w:p>
      <w:pPr>
        <w:spacing w:after="0" w:line="32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advance verekitug in clinical development for one or more of the indications that we are pursuing, obtain regulatory approval and ultimately commercialize verekitug, or experience significant delays in doing so, our business will be materially harmed.</w:t>
      </w:r>
    </w:p>
    <w:p>
      <w:pPr>
        <w:spacing w:after="0" w:line="68"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To date, as an organization, we have not completed the development of any product candidate, and verekitug remains in clinical development. Our future success and ability to generate revenue is dependent on our ability to successfully develop, obtain regulatory approval for and commercialize verekitug or any other potential future product candidates. Verekitug and any other potential future product candidates will require substantial additional investment for clinical development, regulatory review and approval in one or more jurisdictions. If verekitug or any other potential future product candidates encounter safety or efficacy problems, development delays or regulatory issues or other problems, our development plans and business would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420"/>
          </w:cols>
          <w:pgMar w:left="900" w:top="929" w:right="920" w:bottom="371" w:gutter="0" w:footer="0" w:header="0"/>
        </w:sectPr>
      </w:pPr>
    </w:p>
    <w:bookmarkStart w:id="58" w:name="page59"/>
    <w:bookmarkEnd w:id="58"/>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We may not have the financial resources to continue development of verekitug or any other potential future product candidates if we experience any issues that delay or prevent regulatory approval of, or our ability to commercialize, verekitug or any potential future product candidates, including:</w:t>
      </w:r>
    </w:p>
    <w:p>
      <w:pPr>
        <w:spacing w:after="0" w:line="67" w:lineRule="exact"/>
        <w:rPr>
          <w:sz w:val="20"/>
          <w:szCs w:val="20"/>
          <w:color w:val="auto"/>
        </w:rPr>
      </w:pPr>
    </w:p>
    <w:p>
      <w:pPr>
        <w:ind w:left="500" w:right="16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demonstrate to the satisfaction of the FDA, EMA, the European Commission, or other comparable foreign regulatory authorities that verekitug is, or any other potential future product candidates are, safe and effective;</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insufficiency of our financial and other resources to complete the necessary clinical trials and preclinical studies;</w:t>
      </w:r>
    </w:p>
    <w:p>
      <w:pPr>
        <w:spacing w:after="0" w:line="119" w:lineRule="exact"/>
        <w:rPr>
          <w:rFonts w:ascii="Arial" w:cs="Arial" w:eastAsia="Arial" w:hAnsi="Arial"/>
          <w:sz w:val="20"/>
          <w:szCs w:val="20"/>
          <w:color w:val="auto"/>
        </w:rPr>
      </w:pPr>
    </w:p>
    <w:p>
      <w:pPr>
        <w:ind w:left="500" w:right="120" w:hanging="493"/>
        <w:spacing w:after="0" w:line="259"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65" w:lineRule="exact"/>
        <w:rPr>
          <w:rFonts w:ascii="Arial" w:cs="Arial" w:eastAsia="Arial" w:hAnsi="Arial"/>
          <w:sz w:val="20"/>
          <w:szCs w:val="20"/>
          <w:color w:val="auto"/>
        </w:rPr>
      </w:pPr>
    </w:p>
    <w:p>
      <w:pPr>
        <w:ind w:left="500" w:right="30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product-related adverse events experienced by subjects in our clinical trials, or by individuals using drugs or therapeutic biologics similar to verekitug or any other potential future product candidates;</w:t>
      </w:r>
    </w:p>
    <w:p>
      <w:pPr>
        <w:spacing w:after="0" w:line="48" w:lineRule="exact"/>
        <w:rPr>
          <w:rFonts w:ascii="Arial" w:cs="Arial" w:eastAsia="Arial" w:hAnsi="Arial"/>
          <w:sz w:val="20"/>
          <w:szCs w:val="20"/>
          <w:color w:val="auto"/>
        </w:rPr>
      </w:pPr>
    </w:p>
    <w:p>
      <w:pPr>
        <w:ind w:left="500" w:hanging="493"/>
        <w:spacing w:after="0" w:line="258"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submitting an Investigational New Drug (“IND”) application or other regulatory submission to the FDA, EMA, or other comparable foreign regulatory authorities, or delays or failure in obtaining the necessary authorizations from regulators to commence a clinical trial or a suspension, termination, or hold, of a clinical trial once commenced;</w:t>
      </w:r>
    </w:p>
    <w:p>
      <w:pPr>
        <w:spacing w:after="0" w:line="67" w:lineRule="exact"/>
        <w:rPr>
          <w:rFonts w:ascii="Arial" w:cs="Arial" w:eastAsia="Arial" w:hAnsi="Arial"/>
          <w:sz w:val="20"/>
          <w:szCs w:val="20"/>
          <w:color w:val="auto"/>
        </w:rPr>
      </w:pPr>
    </w:p>
    <w:p>
      <w:pPr>
        <w:ind w:left="500" w:right="28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conditions imposed by the FDA, the competent authorities of individual EU Member States or other comparable foreign regulatory authorities regarding the scope or design of our clinical trials;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poor performance of verekitug or any other potential future product candidates during clinical trials;</w:t>
      </w:r>
    </w:p>
    <w:p>
      <w:pPr>
        <w:spacing w:after="0" w:line="120" w:lineRule="exact"/>
        <w:rPr>
          <w:rFonts w:ascii="Arial" w:cs="Arial" w:eastAsia="Arial" w:hAnsi="Arial"/>
          <w:sz w:val="20"/>
          <w:szCs w:val="20"/>
          <w:color w:val="auto"/>
        </w:rPr>
      </w:pPr>
    </w:p>
    <w:p>
      <w:pPr>
        <w:ind w:left="500" w:right="34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better than expected performance of control arms, such as placebo groups, which could lead to negative or inconclusive results from our clinical trials;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enrolling subjects in our clinical trials;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high drop-out rates of subjects from our clinical trials;</w:t>
      </w:r>
    </w:p>
    <w:p>
      <w:pPr>
        <w:spacing w:after="0" w:line="120" w:lineRule="exact"/>
        <w:rPr>
          <w:rFonts w:ascii="Arial" w:cs="Arial" w:eastAsia="Arial" w:hAnsi="Arial"/>
          <w:sz w:val="20"/>
          <w:szCs w:val="20"/>
          <w:color w:val="auto"/>
        </w:rPr>
      </w:pPr>
    </w:p>
    <w:p>
      <w:pPr>
        <w:ind w:left="500" w:right="18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inadequate supply or quality of verekitug or any other potential future product candidates or other materials necessary for the conduct of our clinical trials;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higher than anticipated clinical trial or manufacturing costs;</w:t>
      </w:r>
    </w:p>
    <w:p>
      <w:pPr>
        <w:spacing w:after="0" w:line="119" w:lineRule="exact"/>
        <w:rPr>
          <w:rFonts w:ascii="Arial" w:cs="Arial" w:eastAsia="Arial" w:hAnsi="Arial"/>
          <w:sz w:val="20"/>
          <w:szCs w:val="20"/>
          <w:color w:val="auto"/>
        </w:rPr>
      </w:pPr>
    </w:p>
    <w:p>
      <w:pPr>
        <w:ind w:left="500" w:right="26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unfavorable FDA, EMA, competent authorities of individual EU Member States, or other comparable foreign regulatory authority inspection and review of our clinical trial sites;</w:t>
      </w:r>
    </w:p>
    <w:p>
      <w:pPr>
        <w:spacing w:after="0" w:line="48" w:lineRule="exact"/>
        <w:rPr>
          <w:rFonts w:ascii="Arial" w:cs="Arial" w:eastAsia="Arial" w:hAnsi="Arial"/>
          <w:sz w:val="20"/>
          <w:szCs w:val="20"/>
          <w:color w:val="auto"/>
        </w:rPr>
      </w:pPr>
    </w:p>
    <w:p>
      <w:pPr>
        <w:ind w:left="500" w:right="4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failure of our third-party contractors or investigators to comply with regulatory requirements or the clinical trial protocol or otherwise meet their contractual obligations in a timely manner, or at all;</w:t>
      </w:r>
    </w:p>
    <w:p>
      <w:pPr>
        <w:spacing w:after="0" w:line="48" w:lineRule="exact"/>
        <w:rPr>
          <w:rFonts w:ascii="Arial" w:cs="Arial" w:eastAsia="Arial" w:hAnsi="Arial"/>
          <w:sz w:val="20"/>
          <w:szCs w:val="20"/>
          <w:color w:val="auto"/>
        </w:rPr>
      </w:pPr>
    </w:p>
    <w:p>
      <w:pPr>
        <w:ind w:left="500" w:right="26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delays and changes in regulatory requirements, policies and guidelines, including the imposition of additional regulatory oversight around clinical testing generally or with respect to our therapies in particular; or</w:t>
      </w:r>
    </w:p>
    <w:p>
      <w:pPr>
        <w:spacing w:after="0" w:line="48" w:lineRule="exact"/>
        <w:rPr>
          <w:rFonts w:ascii="Arial" w:cs="Arial" w:eastAsia="Arial" w:hAnsi="Arial"/>
          <w:sz w:val="20"/>
          <w:szCs w:val="20"/>
          <w:color w:val="auto"/>
        </w:rPr>
      </w:pPr>
    </w:p>
    <w:p>
      <w:pPr>
        <w:ind w:left="500" w:right="400" w:hanging="493"/>
        <w:spacing w:after="0" w:line="277" w:lineRule="auto"/>
        <w:tabs>
          <w:tab w:leader="none" w:pos="50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varying interpretations of data by the FDA, EMA, the European Commission, and other comparable foreign regulatory authorities.</w:t>
      </w:r>
    </w:p>
    <w:p>
      <w:pPr>
        <w:spacing w:after="0" w:line="2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w:t>
      </w:r>
    </w:p>
    <w:p>
      <w:pPr>
        <w:spacing w:after="0" w:line="6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9"/>
          <w:szCs w:val="19"/>
          <w:color w:val="auto"/>
        </w:rPr>
        <w:t>We are currently conducting, and may in the future conduct, clinical trials for verekitug or any other potential future product candidates outside the United States, and the FDA and comparable foreign regulatory authorities may not accept data from such trials. We are currently conducting clinical trials outside the United States, including but not limited to in Canada, Japan, South Korea, South Africa, the United Kingdom (“UK”) and countries in South America and the European Union, and we expect to continue to conduct trials internationally in the future. The acceptance of data from clinical trials conducted outside the United States or another jurisdiction by the FDA or any other comparable foreign regulatory authorities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the data are applicable to the U.S. population and U.S. medical practice, the trials were performed by clinical investigators of recognized competence and pursuant to Good Clinical Practice (“GCP”) regulations, and the FDA can validate the data through on-site inspections or other appropriate means. Additionally, the FDA’s clinical trial requirements, including sufficient size of patient populations and statistical powering, must be met. Many foreign regulatory authorities have similar approval requirements, including in relation to the use of data from clinical trials conducted in foreign jurisdictions. In addition, such</w:t>
      </w: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400"/>
          </w:cols>
          <w:pgMar w:left="900" w:top="929" w:right="940" w:bottom="371" w:gutter="0" w:footer="0" w:header="0"/>
        </w:sectPr>
      </w:pPr>
    </w:p>
    <w:bookmarkStart w:id="59" w:name="page60"/>
    <w:bookmarkEnd w:id="59"/>
    <w:p>
      <w:pPr>
        <w:ind w:right="260"/>
        <w:spacing w:after="0" w:line="246" w:lineRule="auto"/>
        <w:rPr>
          <w:sz w:val="20"/>
          <w:szCs w:val="20"/>
          <w:color w:val="auto"/>
        </w:rPr>
      </w:pPr>
      <w:r>
        <w:rPr>
          <w:rFonts w:ascii="Times New Roman" w:cs="Times New Roman" w:eastAsia="Times New Roman" w:hAnsi="Times New Roman"/>
          <w:sz w:val="20"/>
          <w:szCs w:val="20"/>
          <w:color w:val="auto"/>
        </w:rPr>
        <w:t>foreign trials are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Additionally, recent policy proposals in the United States may make acceptance by the FDA or inclusion in a marketing application of foreign data more difficult or costly. If the FDA or any comparable foreign regulatory authority does not accept such data, it would result in the need for additional trials, which could be costly and time-consuming, and which may result in verekitug or any other potential future product candidates that we may develop being delayed or not receiving approval for commercialization in the applicable jurisdiction.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successful development of pharmaceutical products involves a lengthy and expensive process and is highly uncertain.</w:t>
      </w:r>
    </w:p>
    <w:p>
      <w:pPr>
        <w:spacing w:after="0" w:line="12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20"/>
          <w:szCs w:val="20"/>
          <w:color w:val="auto"/>
        </w:rPr>
        <w:t>Successful development of pharmaceutical products is highly uncertain and is dependent on numerous factors, many of which are beyond our control. Product candidates that appear promising in the early phases of development may fail to reach the market for several reasons, including:</w:t>
      </w:r>
    </w:p>
    <w:p>
      <w:pPr>
        <w:spacing w:after="0" w:line="68" w:lineRule="exact"/>
        <w:rPr>
          <w:sz w:val="20"/>
          <w:szCs w:val="20"/>
          <w:color w:val="auto"/>
        </w:rPr>
      </w:pPr>
    </w:p>
    <w:p>
      <w:pPr>
        <w:ind w:left="500" w:right="200" w:hanging="493"/>
        <w:spacing w:after="0" w:line="277" w:lineRule="auto"/>
        <w:tabs>
          <w:tab w:leader="none" w:pos="5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results may show product candidates to be less effective than expected (for example, a clinical trial could fail to meet its primary or key secondary endpoint(s)) or have an unacceptable safety or tolerability profile;</w:t>
      </w:r>
    </w:p>
    <w:p>
      <w:pPr>
        <w:spacing w:after="0" w:line="48" w:lineRule="exact"/>
        <w:rPr>
          <w:rFonts w:ascii="Arial" w:cs="Arial" w:eastAsia="Arial" w:hAnsi="Arial"/>
          <w:sz w:val="20"/>
          <w:szCs w:val="20"/>
          <w:color w:val="auto"/>
        </w:rPr>
      </w:pPr>
    </w:p>
    <w:p>
      <w:pPr>
        <w:ind w:left="500" w:hanging="493"/>
        <w:spacing w:after="0" w:line="247" w:lineRule="auto"/>
        <w:tabs>
          <w:tab w:leader="none" w:pos="5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receive the necessary regulatory approvals or a delay in receiving such approvals, which, among other things, may be caused by patients who fail the trial screening process, slow enrollment in clinical trials, patients dropping out of trials, patients lost to follow-up, length of time to achieve trial endpoints, additional time requirements for data analysis or a Biologics License Application (“BLA”) or similar foreign application preparation, discussions with the FDA, an FDA request for additional preclinical or clinical data (such as long-term toxicology studies) or unexpected safety or manufacturing issues;</w:t>
      </w:r>
    </w:p>
    <w:p>
      <w:pPr>
        <w:spacing w:after="0" w:line="78" w:lineRule="exact"/>
        <w:rPr>
          <w:rFonts w:ascii="Arial" w:cs="Arial" w:eastAsia="Arial" w:hAnsi="Arial"/>
          <w:sz w:val="20"/>
          <w:szCs w:val="20"/>
          <w:color w:val="auto"/>
        </w:rPr>
      </w:pPr>
    </w:p>
    <w:p>
      <w:pPr>
        <w:ind w:left="500" w:hanging="493"/>
        <w:spacing w:after="0"/>
        <w:tabs>
          <w:tab w:leader="none" w:pos="5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preclinical study results may show verekitug or any other potential future product candidates to have harmful side effects;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post-marketing approval requirements; or</w:t>
      </w:r>
    </w:p>
    <w:p>
      <w:pPr>
        <w:spacing w:after="0" w:line="119" w:lineRule="exact"/>
        <w:rPr>
          <w:rFonts w:ascii="Arial" w:cs="Arial" w:eastAsia="Arial" w:hAnsi="Arial"/>
          <w:sz w:val="20"/>
          <w:szCs w:val="20"/>
          <w:color w:val="auto"/>
        </w:rPr>
      </w:pPr>
    </w:p>
    <w:p>
      <w:pPr>
        <w:ind w:left="500" w:right="500" w:hanging="493"/>
        <w:spacing w:after="0" w:line="277" w:lineRule="auto"/>
        <w:tabs>
          <w:tab w:leader="none" w:pos="50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proprietary rights of others and their competing products and technologies that may prevent verekitug or any other potential future product candidates from being commercialized.</w:t>
      </w:r>
    </w:p>
    <w:p>
      <w:pPr>
        <w:spacing w:after="0" w:line="16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The length of time necessary to complete clinical trials and submit an application for marketing approval for a final decision by a regulatory authority varies significantly from one product candidate to the next and from one country or jurisdiction to the next and may be difficult to predict.</w:t>
      </w:r>
    </w:p>
    <w:p>
      <w:pPr>
        <w:spacing w:after="0" w:line="18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Furthermore, any product candidate we develop and the activities associated with its development and commercialization, including its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verekitug or any other potential future product candidates will prevent us from commercializing the product candidate in a given jurisdiction. We have not received approval to market any product candidates from regulatory authorities in any jurisdiction, and it is possible that verekitug or any of our other potential future product candidates will not ever obtain regulatory approval.</w:t>
      </w:r>
    </w:p>
    <w:p>
      <w:pPr>
        <w:spacing w:after="0" w:line="19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We have no experience as an organization in submitting and supporting the applications necessary to gain marketing approvals and expect to rely on third-party contract research organizations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its obtaining marketing approval or prevent or limit commercial use.</w:t>
      </w:r>
    </w:p>
    <w:p>
      <w:pPr>
        <w:spacing w:after="0" w:line="2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440"/>
          </w:cols>
          <w:pgMar w:left="900" w:top="929" w:right="900" w:bottom="371" w:gutter="0" w:footer="0" w:header="0"/>
        </w:sectPr>
      </w:pPr>
    </w:p>
    <w:bookmarkStart w:id="60" w:name="page61"/>
    <w:bookmarkEnd w:id="60"/>
    <w:p>
      <w:pPr>
        <w:ind w:right="500"/>
        <w:spacing w:after="0" w:line="278" w:lineRule="auto"/>
        <w:rPr>
          <w:sz w:val="20"/>
          <w:szCs w:val="20"/>
          <w:color w:val="auto"/>
        </w:rPr>
      </w:pPr>
      <w:r>
        <w:rPr>
          <w:rFonts w:ascii="Times New Roman" w:cs="Times New Roman" w:eastAsia="Times New Roman" w:hAnsi="Times New Roman"/>
          <w:sz w:val="20"/>
          <w:szCs w:val="20"/>
          <w:color w:val="auto"/>
        </w:rPr>
        <w:t>product candidate. Any marketing approval that we may ultimately obtain could be limited or subject to restrictions or post-approval commitments that render the approved product not commercially viable.</w:t>
      </w:r>
    </w:p>
    <w:p>
      <w:pPr>
        <w:spacing w:after="0" w:line="16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Even if we are successful in obtaining marketing approval, commercial success of any approved products will also depend in large part on the availability of coverage and adequate reimbursement from third-party payors, including government payors such as the Medicare and Medicaid programs and comparable foreign programs and managed care organizations in the United States or country-specific governmental organizations in foreign countries, which may be affected by existing and future healthcare reform measures designed to reduce the cost of healthcare. Third-party payors could require us to conduct additional studies, including post-marketing studies related to the cost effectiveness of a product, to qualify for reimbursement, which could be costly and divert our resources. If government and other healthcare payors were not to provide coverage and adequate reimbursement for our products once approved, market acceptance and commercial success would be reduced.</w:t>
      </w:r>
    </w:p>
    <w:p>
      <w:pPr>
        <w:spacing w:after="0" w:line="201"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In addition, if verekitug or any other potential future product candidates receive marketing approval, we will be subject to significant regulatory obligations regarding the submission of safety and other post-marketing information and reports and registration, and will need to continue to comply (or ensure that our third-party providers comply) with current Good Manufacturing Practices (“cGMPs”) and GCPs for any clinical trials that we conduct post-approval. In addition, there is always the risk that we, a regulatory authority or a third party might identify previously unknown problems with a product post-approval, such as adverse events of unanticipated severity or frequency. Compliance with these requirements is costly, and any failure to comply or other issues with verekitug or any other potential future product candidates post-approval could adversely affect our business, financial condition, results of operations and growth prospects.</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Certain estimates of market opportunity and forecasts may prove to be smaller than we believe.</w:t>
      </w:r>
    </w:p>
    <w:p>
      <w:pPr>
        <w:spacing w:after="0" w:line="12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The estimates of market opportunity and forecasts of market growth included in documents that we file with the SEC may prove to be smaller than we believe, and even if the markets in which we compete achieve the forecasted growth, our business may not grow at similar rates, or at all. Our initial focus is on the development of verekitug for the treatment of severe respiratory disorders, including severe asthma, CRSwNP and COPD. Our projections of addressable patient populations within these indications are based on our estimates and independent market research, industry and general publications obtained from third parties. Market opportunity estimates and growth forecasts included in this Annual Report and the other documents that we file with the SEC are subject to significant uncertainty and are based on assumptions and estimates. These estimates, which have been derived from a variety of sources, including scientific literature, surveys of clinics, patient foundations and market research, may prove to be incorrect. Further, new studies may change the estimated incidence or prevalence of these indications. Additionally, the potentially addressable patient population may not ultimately be amenable to treatment with our product candidate if we cannot achieve our intended dosing interval. Our market opportunity may also be limited by current and future products of our competitors that are already available in the market or may enter the market for such patients. If any of our estimates prove to be inaccurate, the market opportunity for verekitug could be significantly diminished and have an adverse material impact on our business.</w:t>
      </w:r>
    </w:p>
    <w:p>
      <w:pPr>
        <w:spacing w:after="0" w:line="93" w:lineRule="exact"/>
        <w:rPr>
          <w:sz w:val="20"/>
          <w:szCs w:val="20"/>
          <w:color w:val="auto"/>
        </w:rPr>
      </w:pPr>
    </w:p>
    <w:p>
      <w:pPr>
        <w:ind w:right="2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Due to the significant resources required for drug development and depending on our ability to access capital, we must prioritize the development of verekitug. Moreover, we may fail to expend our limited resources on the development of verekitug for the treatment of additional indications or for the development of other potential future product candidates that may have been more profitable or for which there is a greater likelihood of success.</w:t>
      </w:r>
    </w:p>
    <w:p>
      <w:pPr>
        <w:spacing w:after="0" w:line="7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Our product candidate, verekitug, is in clinical development for the treatment of severe asthma, CRSwNP, and COPD. Our initial focus is on developing verekitug for the treatment of severe respiratory disorders.</w:t>
      </w:r>
    </w:p>
    <w:p>
      <w:pPr>
        <w:spacing w:after="0" w:line="16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Due to the significant resources required for the development of verekitug, we must decide which indications to pursue and advance and the amount of resources to allocate to each. Our decisions concerning the allocation of research, development, collaboration, management and financial resources toward particular indications may not lead to the development of viable commercial products and may divert resources away from better opportunities. If we make incorrect determinations regarding the viability or market potential of verekitug or misread trends in the pharmaceutical industry, our business, financial condition, results of operations and growth prospects could be materially and adversely affected. As a result, we may fail to capitalize on viable commercial products or profitable market opportunities, be required to forego or delay pursuit of opportunities verekitug or any potential future product candidates with other diseases and disease pathways that may later prove to have greater commercial potential than those we choose to pursue, or relinquish valuable rights to verekitug through collaboration, licensing or royalty arrangements in cases in which it would have been advantageous for us to invest additional resources to retain sole development and commercialization rights.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420"/>
          </w:cols>
          <w:pgMar w:left="900" w:top="929" w:right="920" w:bottom="371" w:gutter="0" w:footer="0" w:header="0"/>
        </w:sectPr>
      </w:pPr>
    </w:p>
    <w:bookmarkStart w:id="61" w:name="page62"/>
    <w:bookmarkEnd w:id="61"/>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successfully commercialize verekitug, our results of operations will be affected by the level of royalty payments that we are required to pay to Regeneron.</w:t>
      </w:r>
    </w:p>
    <w:p>
      <w:pPr>
        <w:spacing w:after="0" w:line="4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connection with our Asset Purchase Agreement with Astellas, we also entered into a letter agreement (the “Regeneron Letter Agreement”) with Astellas and Regeneron Pharmaceuticals Inc. (“Regeneron”). Under the Regeneron Letter Agreement, we assumed from Astellas an obligation to make mid-single-digit percentage royalty payments to Regeneron upon the commercialization of products developed from materials originally licensed to Astellas. The payment of royalties may have a negative effect on our results of operations and our ability to reinvest capital generated from commercialization to develop verekitug in additional indications or grow our company. Furthermore, any failure on our part to pay royalties owed to Regeneron could impact our rights to verekitug, lead to the initiation of legal proceedings against us and thereby adversely affect our business.</w:t>
      </w:r>
    </w:p>
    <w:p>
      <w:pPr>
        <w:spacing w:after="0" w:line="32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7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Our success depends on our ability to continually enhance and broaden our product offerings in response to changing clinician and patients’ needs, competitive technologies and market pressures. Accordingly, from time 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w:t>
      </w:r>
    </w:p>
    <w:p>
      <w:pPr>
        <w:spacing w:after="0" w:line="78" w:lineRule="exact"/>
        <w:rPr>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difficulty assimilating or integrating acquired or licensed technologies, products, employees or business operations;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issues maintaining uniform standards, procedures, controls and policies;</w:t>
      </w:r>
    </w:p>
    <w:p>
      <w:pPr>
        <w:spacing w:after="0" w:line="119" w:lineRule="exact"/>
        <w:rPr>
          <w:rFonts w:ascii="Arial" w:cs="Arial" w:eastAsia="Arial" w:hAnsi="Arial"/>
          <w:sz w:val="20"/>
          <w:szCs w:val="20"/>
          <w:color w:val="auto"/>
        </w:rPr>
      </w:pPr>
    </w:p>
    <w:p>
      <w:pPr>
        <w:ind w:left="500" w:right="180" w:hanging="493"/>
        <w:spacing w:after="0" w:line="277" w:lineRule="auto"/>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costs associated with acquisitions or strategic alliances, including the assumption of unknown or contingent liabilities and the incurrence of debt or future write-offs of intangible assets or goodwill;</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diversion of management’s attention from our core business and disruption of ongoing operations;</w:t>
      </w:r>
    </w:p>
    <w:p>
      <w:pPr>
        <w:spacing w:after="0" w:line="120" w:lineRule="exact"/>
        <w:rPr>
          <w:rFonts w:ascii="Arial" w:cs="Arial" w:eastAsia="Arial" w:hAnsi="Arial"/>
          <w:sz w:val="20"/>
          <w:szCs w:val="20"/>
          <w:color w:val="auto"/>
        </w:rPr>
      </w:pPr>
    </w:p>
    <w:p>
      <w:pPr>
        <w:ind w:left="500" w:right="500" w:hanging="493"/>
        <w:spacing w:after="0" w:line="277" w:lineRule="auto"/>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adverse effects on existing business relationships with suppliers, sales agents, healthcare facilities, surgeons and other healthcare professionals;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risks associated with entering new markets in which we have limited or no experience;</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losses related to investments in other companies;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loss of key employees of acquired businesses; and</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legal and accounting compliance costs.</w:t>
      </w:r>
    </w:p>
    <w:p>
      <w:pPr>
        <w:spacing w:after="0" w:line="24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do not know if we will be able to identify acquisitions or strategic relationships we deem suitable, whether we will be able to successfully complete any such transactions on favorable terms, if at all, or whether we will be able to successfully integrate any acquired business, product or technology into our business or retain any key personnel, suppliers, sales agent, healthcare facilities, physicians or other healthcare providers.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w:t>
      </w:r>
    </w:p>
    <w:p>
      <w:pPr>
        <w:spacing w:after="0" w:line="200"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To finance any acquisitions, investments or strategic alliances, we may choose to issue shares of our common stock as consideration, which could dilute the ownership of our stockholders. If the price of our common stock is low or volatile, we may be unable to consummate any acquisitions, investments or strategic alliances using our common stock as consideration. Additional funds may not be available on terms that are favorable to us,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420"/>
          </w:cols>
          <w:pgMar w:left="900" w:top="929" w:right="920" w:bottom="371" w:gutter="0" w:footer="0" w:header="0"/>
        </w:sectPr>
      </w:pPr>
    </w:p>
    <w:bookmarkStart w:id="62" w:name="page63"/>
    <w:bookmarkEnd w:id="62"/>
    <w:p>
      <w:pPr>
        <w:ind w:right="1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our collaborators, and our service providers are subject to a variety of stringent and evolving privacy and data security laws, regulations, and rules, contractual obligations, industry standards, policies, and other obligations related to privacy and data security. Any actual or perceived failure to comply with such obligations could expose us to significant fines or other penalties and otherwise harm our business and operations.</w:t>
      </w:r>
    </w:p>
    <w:p>
      <w:pPr>
        <w:spacing w:after="0" w:line="74"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upon which we rely collect, receive, store, or otherwise process personal data, including information we may collect about participants in our clinical trials. Our data processing activities subject us to numerous, evolving privacy and data security obligations, such as various laws, regulations, guidance, industry standards, external and internal privacy and security policies, contractual requirements, and other obligations relating to privacy and data security.</w:t>
      </w:r>
    </w:p>
    <w:p>
      <w:pPr>
        <w:spacing w:after="0" w:line="19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legislative and regulatory framework for the processing of personal data worldwide is rapidly evolving in a manner that is increasingly stringent and, globally, this legal and regulatory framework is likely to remain uncertain for the foreseeable future. In the United States, numerous federal, state and local laws and regulations, including federal health information privacy laws, state information security and data breach notification laws, federal consumer protection laws (e.g., Section 5 of the Federal Trade Commission Act), state consumer protection and privacy laws, and other similar laws (e.g., wiretapping and communications interception laws) govern the processing of health-related and other personal data.</w:t>
      </w:r>
    </w:p>
    <w:p>
      <w:pPr>
        <w:spacing w:after="0" w:line="20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existing state comprehensive privacy laws exempt some data processed in the context of clinical trials, these developments may further complicate compliance efforts, and increase legal risk and compliance costs for us and the third parties upon whom we rely.</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Certain states have passed laws regulating specific aspects of privacy. For example, a small number of states, such as Illinois and Texas, have enacted laws that specifically target the collection and use of biometric information. Additionally, we may be subject to new laws governing the privacy of consumer health data, such as Washington’s My Health My Data Act. The My Health My Data Act imposes new state restrictions and requirements on the processing and sale of consumer health data and creates a private right of action, which further increases the relevant compliance risk. Connecticut and Nevada have also passed similar laws regulating consumer health data. The effects of state and federal privacy laws are potentially significant and may require us to modify our data processing practices and policies and to incur substantial costs and potential liability in an effort to comply with such legislation. These various privacy and data security laws may impact our business activities, including our identification of research subjects, relationships with business partners and ultimately the marketing and distribution of our products.</w:t>
      </w:r>
    </w:p>
    <w:p>
      <w:pPr>
        <w:spacing w:after="0" w:line="20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certain countries of concern, including China. The final rule also restricts certain investment agreements, employment agreements and vendor agreements involving such data and countries of concern, absent specified cybersecurity controls. The final rule does not exempt key-coded or otherwise anonymized, pseudonymized, de-identified, or encrypted data. Actual or alleged violations of the final rule may be punishable by criminal and/or civil sanctions, and may result in exclusion from participation in federal and state programs.</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may govern privacy, data security, and the transfer of personal data between jurisdictions. For example, the European Union’s General Data Protection Regulation (“EU GDPR”) and the United Kingdom’s General Data Protection Regulation (“UK GDPR”, together with the EU GDPR, “GDPR”) impose strict requirements for processing personal data including relating to processing of sensitive data (such as health data), ensuring there is a legal basis or condition to justify the processing of personal data, where required requirements relating to obtaining consent of individuals, disclosures about how personal data is to be used, limitations on retention of information, implementing safeguards to protect the security and confidentiality of personal data, where required providing notification of data breaches, maintaining records of processing activities and documenting data protection impact assessments where there is high risk processing and taking certain measures when engaging third-party processors. Under GDPR, companies may face temporary or definitive bans on data processing and other corrective activities, fines of up to €20 million (£17.5 million GBP) or 4% of annual global revenues, whichever is greater, and private litigation related to processing of personal data brought by classes of data subjects or consumer protection organizations authorized at law to represent their interests. Non-compliance could also result in a material adverse effect on our business, financial position and results of operations.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420"/>
          </w:cols>
          <w:pgMar w:left="900" w:top="929" w:right="920" w:bottom="371" w:gutter="0" w:footer="0" w:header="0"/>
        </w:sectPr>
      </w:pPr>
    </w:p>
    <w:bookmarkStart w:id="63" w:name="page64"/>
    <w:bookmarkEnd w:id="63"/>
    <w:p>
      <w:pPr>
        <w:spacing w:after="0" w:line="242" w:lineRule="auto"/>
        <w:rPr>
          <w:sz w:val="20"/>
          <w:szCs w:val="20"/>
          <w:color w:val="auto"/>
        </w:rPr>
      </w:pPr>
      <w:r>
        <w:rPr>
          <w:rFonts w:ascii="Times New Roman" w:cs="Times New Roman" w:eastAsia="Times New Roman" w:hAnsi="Times New Roman"/>
          <w:sz w:val="20"/>
          <w:szCs w:val="20"/>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other countries),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activist groups. Some European regulators have ordered certain companies to suspend or permanently cease certain transfers of personal data out of Europe for allegedly violating the GDPR’s cross-border data transfer limitations.</w:t>
      </w:r>
    </w:p>
    <w:p>
      <w:pPr>
        <w:spacing w:after="0" w:line="20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Although the UK is regarded as a third country under the EU GDPR, the European Commission adopted an adequacy decision in favor of the UK, a decision recognizing the UK as providing adequate protection under the EU GDPR and enabling data transfers from EU Member States to the UK without additional safeguards. In December 2025, the European Commission extended the validity of the UK adequacy decision for six years until December 2031, determining that the UK continues to offer a level of data protection that is “essentially equivalent” to the EU standards. This follows the UK’s adoption of the Data (Use and Access) Act 2025 (the “DUAA”) on 19 June 2025. The EU GDPR and the UK GDPR currently impose substantially similar obligations. However, it is possible that the respective provisions, interpretations and enforcement of the EU GDPR and UK GDPR may further diverge in the future and create additional regulatory challenges and uncertainties, leading to additional compliance costs and could increase our overall risk.</w:t>
      </w:r>
    </w:p>
    <w:p>
      <w:pPr>
        <w:spacing w:after="0" w:line="206"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Additionally in the EEA, the NIS 2 Directive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a greater oversight. EU Member States had until 17 October 2024 to transpose NIS 2 into national legislation, although some countries have still not completed the transposition. As such, the cybersecurity regulatory landscape in the EEA is currently fragmented and uncertain. To the extent we are subject to NIS 2, we will require additional investment of our resources in compliance programs. Under NIS 2 companies may be subject to administrative fines of up to the higher amount of €10 million or 2% of worldwide turnover.</w:t>
      </w:r>
    </w:p>
    <w:p>
      <w:pPr>
        <w:spacing w:after="0" w:line="208" w:lineRule="exact"/>
        <w:rPr>
          <w:sz w:val="20"/>
          <w:szCs w:val="20"/>
          <w:color w:val="auto"/>
        </w:rPr>
      </w:pPr>
    </w:p>
    <w:p>
      <w:pPr>
        <w:jc w:val="both"/>
        <w:ind w:right="240"/>
        <w:spacing w:after="0" w:line="259" w:lineRule="auto"/>
        <w:rPr>
          <w:sz w:val="20"/>
          <w:szCs w:val="20"/>
          <w:color w:val="auto"/>
        </w:rPr>
      </w:pPr>
      <w:r>
        <w:rPr>
          <w:rFonts w:ascii="Times New Roman" w:cs="Times New Roman" w:eastAsia="Times New Roman" w:hAnsi="Times New Roman"/>
          <w:sz w:val="20"/>
          <w:szCs w:val="20"/>
          <w:color w:val="auto"/>
        </w:rPr>
        <w:t>In addition to privacy and data security laws, we are contractually subject to industry standards adopted by industry groups and may become subject to such obligations in the future. We are also bound by other contractual obligations related to privacy and data security, and our efforts to comply with such obligations may not be successful.</w:t>
      </w:r>
    </w:p>
    <w:p>
      <w:pPr>
        <w:spacing w:after="0" w:line="18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We publish privacy policies and other statements, such as compliance with certain certifications or self-regulatory principles, regarding privacy and data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9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Obligations related to privacy and data security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440"/>
          </w:cols>
          <w:pgMar w:left="900" w:top="929" w:right="900" w:bottom="371" w:gutter="0" w:footer="0" w:header="0"/>
        </w:sectPr>
      </w:pPr>
    </w:p>
    <w:bookmarkStart w:id="64" w:name="page65"/>
    <w:bookmarkEnd w:id="64"/>
    <w:p>
      <w:pPr>
        <w:ind w:right="40"/>
        <w:spacing w:after="0" w:line="242" w:lineRule="auto"/>
        <w:rPr>
          <w:sz w:val="20"/>
          <w:szCs w:val="20"/>
          <w:color w:val="auto"/>
        </w:rPr>
      </w:pPr>
      <w:r>
        <w:rPr>
          <w:rFonts w:ascii="Times New Roman" w:cs="Times New Roman" w:eastAsia="Times New Roman" w:hAnsi="Times New Roman"/>
          <w:sz w:val="20"/>
          <w:szCs w:val="20"/>
          <w:color w:val="auto"/>
        </w:rPr>
        <w:t>We may at times fail in our efforts to comply with our privacy and data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privacy and data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financial condition, results of operations and growth prospects,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333"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4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Issues in the development and use of artificial intelligence (“AI”),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Development, use, and deployment of these technologies could pose cybersecurity, data privacy, IT, intellectual property, regulatory, legal, operational, competitive, reputational, and other risks and challenges that could affect our business. Specifically, risks related to bias, AI hallucinations, discrimination, harmful content, misinformation, fraud, scams, targeted attacks such as model poisoning or data poisoning, surveillance, data leakage, loss of consensus reality, inequality, environmental harms, and other harms may flow from our development, use, or deployment of AI technologies.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In addition, AI technologies, including generative AI tools, may create content, analyses or recommendations without human intervention that take or suggest actions based on incomplete or inaccurate data, “hallucinatory” inferences, or flawed training inputs or contain copyrighted or other protected material, and if our customers or others use this flawed or protected content or materials to their detriment, we may be exposed to brand or reputational harm, competitive harm, and/or legal liability.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98"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 For example, the EU’s Artificial Intelligence Act (“AI Act”) entered into force on August 1, 2024, with most provisions becoming effective on August 2, 2026. As currently enacted, the AI Act, which may be amended as part of the EU’s Digital Omnibus, imposes significant obligations on providers and deployers of artificial intelligence systems, and encourages providers and deployers of artificial intelligence systems to account for EU ethical principles in their development and use of these systems. The scope of requirements depends on legal and risk determinations that rely on novel legal provisions that have not yet been interpreted by courts or regulators, and non-compliance can lead to significant fines.</w:t>
      </w:r>
    </w:p>
    <w:p>
      <w:pPr>
        <w:spacing w:after="0" w:line="82"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2025 executive order on “Ensuring a National Policy Framework for Artificial Intelligence.” So far, these efforts have not been successful at curtailing state action on AI regulation, contributing to a complicated legislative patchwork, which may be litigated in state and federal courts. As a result, we may face a fragmented and evolving compliance landscape that</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440"/>
          </w:cols>
          <w:pgMar w:left="900" w:top="929" w:right="900" w:bottom="371" w:gutter="0" w:footer="0" w:header="0"/>
        </w:sectPr>
      </w:pPr>
    </w:p>
    <w:bookmarkStart w:id="65" w:name="page66"/>
    <w:bookmarkEnd w:id="65"/>
    <w:p>
      <w:pPr>
        <w:ind w:right="180"/>
        <w:spacing w:after="0" w:line="249" w:lineRule="auto"/>
        <w:rPr>
          <w:sz w:val="20"/>
          <w:szCs w:val="20"/>
          <w:color w:val="auto"/>
        </w:rPr>
      </w:pPr>
      <w:r>
        <w:rPr>
          <w:rFonts w:ascii="Times New Roman" w:cs="Times New Roman" w:eastAsia="Times New Roman" w:hAnsi="Times New Roman"/>
          <w:sz w:val="20"/>
          <w:szCs w:val="20"/>
          <w:color w:val="auto"/>
        </w:rPr>
        <w:t>could increase operational complexity, regulatory scrutiny, and legal exposure associated with the use or development of AI technologies. In addition, various federal regulators have issued guidance and focused enforcement efforts on the use of AI in regulated sectors. The FDA, for example, issued draft guidance on the use of AI in regulatory decision-making for drug and biological products that centers on the context of use while establishing a credibility assessment framework for establishing and evaluating AI model outputs intended to support regulatory decision-making.</w:t>
      </w:r>
    </w:p>
    <w:p>
      <w:pPr>
        <w:spacing w:after="0" w:line="7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Additionally, our vendors may incorporate AI tools into their offerings without disclosing this use to us, and the providers of these AI tools may not meet existing or rapidly evolving regulatory or industry standards with respect to privacy and data protection and may inhibit our or our vendors’ ability to maintain an adequate level of service and experience. If we develop or use AI systems governed by these laws or regulations, including as informed by regulatory guidance, we will need to meet higher standards of data quality, transparency, monitoring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and development of verekitug or any other potential future product candidates</w:t>
      </w:r>
    </w:p>
    <w:p>
      <w:pPr>
        <w:spacing w:after="0" w:line="16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the EMA, and the European Commission and other comparable foreign regulatory authorities are lengthy, time-consuming and inherently unpredictable, and if we are ultimately unable to obtain regulatory approval for verekitug or any other potential future product candidates, our business will be substantially harmed.</w:t>
      </w:r>
    </w:p>
    <w:p>
      <w:pPr>
        <w:spacing w:after="0" w:line="68"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are not permitted to commercialize, market, promote or sell any product candidate in the United States without obtaining regulatory approval from the FDA. Regulatory authorities outside of the United States impose similar requirements. The time required to obtain approval by the FDA, European Commission and other comparable foreign regulatory authorities is inherently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For instance, jurisdictions outside of the United States, such as the European Union or Japan, may have different requirements for regulatory approval, which may require us to conduct additional clinical, nonclinical or chemistry, manufacturing and control studies. To date, we have not submitted a BLA to the FDA or similar drug approval submissions to comparable foreign regulatory authorities for any product candidate. We must complete additional preclinical studies and clinical trials to demonstrate the safety and efficacy of verekitug or any other potential future product candidates in humans before we will be able to obtain these approvals.</w:t>
      </w:r>
    </w:p>
    <w:p>
      <w:pPr>
        <w:spacing w:after="0" w:line="2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Clinical testing is expensive, difficult to design and implement, can take many years to complete and is inherently uncertain as to outcome. The general approach for FDA approval of a new drug has generally been dispositive data from two or more adequate and well-controlled clinical trials of the product candidate in the relevant patient population, although FDA leadership announced in February 2026 that the FDA will, going forward, adopt the default position that one adequate and well-controlled trial, combined with confirmatory evidence, can serve as the basis of approval for novel products. The FDA, the EMA, the European Commission, or other comparable foreign regulatory authorities may disagree with us about whether a clinical trial is adequate and well-controlled or may request that we conduct additional clinical trials prior to regulatory approval. We cannot guarantee that any clinical trials will be conducted as planned or completed on schedule, if at all. In addition, there is no assurance that the doses, endpoints and trial designs that we intend to use for our planned clinical trials, including those that we have developed based on feedback from regulatory agencies or those that have been used for the approval of similar drugs, will be acceptable for future approvals. The clinical development of verekitug or any other potential future product candidates is also susceptible to the risk of failure inherent at any stage of development, including failure to demonstrate efficacy in a clinical trial or across a broad population of patients, the occurrence of adverse events that are severe or medically or commercially unacceptable, failure to comply with protocols or applicable regulatory requirements and determination by the FDA or any comparable foreign regulatory authority that a product candidate may not continue development or is not approvable. It is possible that even if verekitug or any other potential future product candidates have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such product candidate that is greater than the actual positive effect, if any. Similarly, in our clinical trials we may fail to detect toxicity of, or intolerability caused by, such product candidate, or mistakenly believe that verekitug or any other potential future product candidates are toxic or not well tolerated when that is not in fact the case. Serious adverse events or other adverse events, as well as tolerability issues, could hinder or prevent market acceptance of the product candidate at issue.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420"/>
          </w:cols>
          <w:pgMar w:left="900" w:top="929" w:right="920" w:bottom="371" w:gutter="0" w:footer="0" w:header="0"/>
        </w:sectPr>
      </w:pPr>
    </w:p>
    <w:bookmarkStart w:id="66" w:name="page67"/>
    <w:bookmarkEnd w:id="66"/>
    <w:p>
      <w:pPr>
        <w:ind w:right="120"/>
        <w:spacing w:after="0" w:line="278" w:lineRule="auto"/>
        <w:rPr>
          <w:sz w:val="20"/>
          <w:szCs w:val="20"/>
          <w:color w:val="auto"/>
        </w:rPr>
      </w:pPr>
      <w:r>
        <w:rPr>
          <w:rFonts w:ascii="Times New Roman" w:cs="Times New Roman" w:eastAsia="Times New Roman" w:hAnsi="Times New Roman"/>
          <w:sz w:val="20"/>
          <w:szCs w:val="20"/>
          <w:color w:val="auto"/>
        </w:rPr>
        <w:t>Verekitug or any other potential future product candidates could fail to receive regulatory approval, or regulatory approval could be delayed, for many reasons, including the following:</w:t>
      </w:r>
    </w:p>
    <w:p>
      <w:pPr>
        <w:spacing w:after="0" w:line="48" w:lineRule="exact"/>
        <w:rPr>
          <w:sz w:val="20"/>
          <w:szCs w:val="20"/>
          <w:color w:val="auto"/>
        </w:rPr>
      </w:pPr>
    </w:p>
    <w:p>
      <w:pPr>
        <w:ind w:left="500" w:right="400" w:hanging="493"/>
        <w:spacing w:after="0" w:line="277"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the EMA, the competent authorities of individual EU Member States, or other comparable foreign regulatory authorities may disagree with the dosing regimen, design or implementation of our clinical trials;</w:t>
      </w:r>
    </w:p>
    <w:p>
      <w:pPr>
        <w:spacing w:after="0" w:line="48" w:lineRule="exact"/>
        <w:rPr>
          <w:rFonts w:ascii="Arial" w:cs="Arial" w:eastAsia="Arial" w:hAnsi="Arial"/>
          <w:sz w:val="20"/>
          <w:szCs w:val="20"/>
          <w:color w:val="auto"/>
        </w:rPr>
      </w:pPr>
    </w:p>
    <w:p>
      <w:pPr>
        <w:ind w:left="500" w:right="140" w:hanging="493"/>
        <w:spacing w:after="0" w:line="304" w:lineRule="auto"/>
        <w:tabs>
          <w:tab w:leader="none" w:pos="5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we may be unable to demonstrate to the satisfaction of the FDA, the EMA and the European Commission, or other comparable foreign regulatory authorities that a product candidate is safe and effective for any of its proposed indications;</w:t>
      </w:r>
    </w:p>
    <w:p>
      <w:pPr>
        <w:spacing w:after="0" w:line="26" w:lineRule="exact"/>
        <w:rPr>
          <w:rFonts w:ascii="Arial" w:cs="Arial" w:eastAsia="Arial" w:hAnsi="Arial"/>
          <w:sz w:val="19"/>
          <w:szCs w:val="19"/>
          <w:color w:val="auto"/>
        </w:rPr>
      </w:pPr>
    </w:p>
    <w:p>
      <w:pPr>
        <w:ind w:left="500" w:right="700" w:hanging="493"/>
        <w:spacing w:after="0" w:line="277"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clinical trials may not meet the level of statistical significance required by the FDA, the EMA and the European Commission, or other comparable foreign regulatory authorities for approval;</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unable to demonstrate that a product candidate’s clinical and other benefits outweigh its safety risks;</w:t>
      </w:r>
    </w:p>
    <w:p>
      <w:pPr>
        <w:spacing w:after="0" w:line="119" w:lineRule="exact"/>
        <w:rPr>
          <w:rFonts w:ascii="Arial" w:cs="Arial" w:eastAsia="Arial" w:hAnsi="Arial"/>
          <w:sz w:val="20"/>
          <w:szCs w:val="20"/>
          <w:color w:val="auto"/>
        </w:rPr>
      </w:pPr>
    </w:p>
    <w:p>
      <w:pPr>
        <w:ind w:left="500" w:right="60" w:hanging="493"/>
        <w:spacing w:after="0" w:line="277"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the EMA or the European Commission, or other comparable foreign regulatory authorities may disagree with our interpretation of data from clinical trials or preclinical studies;</w:t>
      </w:r>
    </w:p>
    <w:p>
      <w:pPr>
        <w:spacing w:after="0" w:line="48" w:lineRule="exact"/>
        <w:rPr>
          <w:rFonts w:ascii="Arial" w:cs="Arial" w:eastAsia="Arial" w:hAnsi="Arial"/>
          <w:sz w:val="20"/>
          <w:szCs w:val="20"/>
          <w:color w:val="auto"/>
        </w:rPr>
      </w:pPr>
    </w:p>
    <w:p>
      <w:pPr>
        <w:jc w:val="both"/>
        <w:ind w:left="500" w:right="120" w:hanging="493"/>
        <w:spacing w:after="0" w:line="259"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data collected from clinical trials of verekitug or any other potential future product candidates may not be sufficient to support the submission of a BLA to the FDA or other submission or to obtain regulatory approval in the United States, the European Union or elsewhere;</w:t>
      </w:r>
    </w:p>
    <w:p>
      <w:pPr>
        <w:spacing w:after="0" w:line="65" w:lineRule="exact"/>
        <w:rPr>
          <w:rFonts w:ascii="Arial" w:cs="Arial" w:eastAsia="Arial" w:hAnsi="Arial"/>
          <w:sz w:val="20"/>
          <w:szCs w:val="20"/>
          <w:color w:val="auto"/>
        </w:rPr>
      </w:pPr>
    </w:p>
    <w:p>
      <w:pPr>
        <w:ind w:left="500" w:right="700" w:hanging="493"/>
        <w:spacing w:after="0" w:line="277"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the EMA or other comparable foreign regulatory authorities may not file or accept our BLA or marketing application for substantive review;</w:t>
      </w:r>
    </w:p>
    <w:p>
      <w:pPr>
        <w:spacing w:after="0" w:line="48" w:lineRule="exact"/>
        <w:rPr>
          <w:rFonts w:ascii="Arial" w:cs="Arial" w:eastAsia="Arial" w:hAnsi="Arial"/>
          <w:sz w:val="20"/>
          <w:szCs w:val="20"/>
          <w:color w:val="auto"/>
        </w:rPr>
      </w:pPr>
    </w:p>
    <w:p>
      <w:pPr>
        <w:ind w:left="500" w:right="760" w:hanging="493"/>
        <w:spacing w:after="0" w:line="277"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staffing changes and backlogs at the FDA, the EMA or other comparable foreign regulatory authorities may create unexpected delays in the review and approval of any applications we may submit;</w:t>
      </w:r>
    </w:p>
    <w:p>
      <w:pPr>
        <w:spacing w:after="0" w:line="48" w:lineRule="exact"/>
        <w:rPr>
          <w:rFonts w:ascii="Arial" w:cs="Arial" w:eastAsia="Arial" w:hAnsi="Arial"/>
          <w:sz w:val="20"/>
          <w:szCs w:val="20"/>
          <w:color w:val="auto"/>
        </w:rPr>
      </w:pPr>
    </w:p>
    <w:p>
      <w:pPr>
        <w:ind w:left="500" w:hanging="493"/>
        <w:spacing w:after="0" w:line="259" w:lineRule="auto"/>
        <w:tabs>
          <w:tab w:leader="none" w:pos="50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the FDA, the competent authorities of individual EU Member States or other comparable foreign regulatory authorities may find deficiencies with or fail to approve the manufacturing processes or facilities of third-party manufacturers with which we contract for clinical and commercial supplies; and</w:t>
      </w:r>
    </w:p>
    <w:p>
      <w:pPr>
        <w:spacing w:after="0" w:line="65" w:lineRule="exact"/>
        <w:rPr>
          <w:rFonts w:ascii="Arial" w:cs="Arial" w:eastAsia="Arial" w:hAnsi="Arial"/>
          <w:sz w:val="20"/>
          <w:szCs w:val="20"/>
          <w:color w:val="auto"/>
        </w:rPr>
      </w:pPr>
    </w:p>
    <w:p>
      <w:pPr>
        <w:ind w:left="500" w:right="460" w:hanging="493"/>
        <w:spacing w:after="0" w:line="304" w:lineRule="auto"/>
        <w:tabs>
          <w:tab w:leader="none" w:pos="500" w:val="left"/>
        </w:tabs>
        <w:numPr>
          <w:ilvl w:val="0"/>
          <w:numId w:val="34"/>
        </w:numPr>
        <w:rPr>
          <w:rFonts w:ascii="Arial" w:cs="Arial" w:eastAsia="Arial" w:hAnsi="Arial"/>
          <w:sz w:val="19"/>
          <w:szCs w:val="19"/>
          <w:color w:val="auto"/>
        </w:rPr>
      </w:pPr>
      <w:r>
        <w:rPr>
          <w:rFonts w:ascii="Times New Roman" w:cs="Times New Roman" w:eastAsia="Times New Roman" w:hAnsi="Times New Roman"/>
          <w:sz w:val="19"/>
          <w:szCs w:val="19"/>
          <w:color w:val="auto"/>
        </w:rPr>
        <w:t>the approval policies or regulations of the FDA, the EMA and the European Commission, or other comparable foreign regulatory authorities may significantly change in a manner rendering our clinical data insufficient for approval.</w:t>
      </w:r>
    </w:p>
    <w:p>
      <w:pPr>
        <w:spacing w:after="0" w:line="14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This lengthy approval process as well as the unpredictability of clinical trial results may result in our failing to obtain regulatory approval to market any product candidate we develop, which would substantially harm our business, results of operations and prospects. The FDA and other comparable foreign authorities have discretion in the approval process and determining when or whether regulatory approval will be granted for verekitug or any other potential future product candidates that we develop. Even if we believe the data collected from future clinical trials verekitug or any other potential future product candidates are promising, such data may not be sufficient to support approval by the FDA, the European Commission, or any other comparable foreign regulatory authority.</w:t>
      </w:r>
    </w:p>
    <w:p>
      <w:pPr>
        <w:spacing w:after="0" w:line="19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In addition, even if we were to obtain approval, regulatory authorities may approve verekitug or any other potential future product candidates for fewer or more limited indications than we request, may not approve the price we intend to charge for our products, may grant approval contingent on the performance of costly post-marketing clinical trials or may approve verekitug or any other potential future product candidates with a label that does not include the labeling claims necessary or desirable for the successful commercialization. Any of the foregoing scenarios could materially harm the commercial prospects for verekitug or any other potential future product candidates.</w:t>
      </w:r>
    </w:p>
    <w:p>
      <w:pPr>
        <w:spacing w:after="0" w:line="320" w:lineRule="exact"/>
        <w:rPr>
          <w:sz w:val="20"/>
          <w:szCs w:val="20"/>
          <w:color w:val="auto"/>
        </w:rPr>
      </w:pPr>
    </w:p>
    <w:p>
      <w:pPr>
        <w:ind w:right="6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Verekitug represents a novel approach to the treatment of inflammatory diseases, which makes it difficult to predict its likelihood of success and the timing and cost of development and obtaining regulatory approval.</w:t>
      </w:r>
    </w:p>
    <w:p>
      <w:pPr>
        <w:spacing w:after="0" w:line="4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We have concentrated our research and development efforts to develop the only known antagonist currently in clinical development that targets the receptor for Thymic Stromal Lymphopoietin (“TSLP”) and our future success depends on the successful development of this differentiated therapeutic approach. We are in the early stages of developing verekitug and there can be no assurance that any development problems we have experienced or may experience in the future will not cause significant delays or result in unforeseen issues or unanticipated costs, or that any such development problems or issues can be overcome. We may also experience delays or encounter difficulties in developing a sustainable, reproducible and scalable manufacturing process or transferring that process to commercial partners, which may prevent us from completing our future clinical studies or commercializing our products on a timely or profitable basis, if at all. In addition, our expectations with regard to the advantages of inhibiting the TSLP receptor relative to the approach of other therapies may not materialize or materialize to the degree we anticipate. Further, our scalability and costs of manufacturing may vary significantly as we develop verekitug and understand these critical factors.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420"/>
          </w:cols>
          <w:pgMar w:left="900" w:top="929" w:right="920" w:bottom="371" w:gutter="0" w:footer="0" w:header="0"/>
        </w:sectPr>
      </w:pPr>
    </w:p>
    <w:bookmarkStart w:id="67" w:name="page68"/>
    <w:bookmarkEnd w:id="67"/>
    <w:p>
      <w:pPr>
        <w:ind w:right="20"/>
        <w:spacing w:after="0" w:line="244" w:lineRule="auto"/>
        <w:rPr>
          <w:sz w:val="20"/>
          <w:szCs w:val="20"/>
          <w:color w:val="auto"/>
        </w:rPr>
      </w:pPr>
      <w:r>
        <w:rPr>
          <w:rFonts w:ascii="Times New Roman" w:cs="Times New Roman" w:eastAsia="Times New Roman" w:hAnsi="Times New Roman"/>
          <w:sz w:val="20"/>
          <w:szCs w:val="20"/>
          <w:color w:val="auto"/>
        </w:rPr>
        <w:t>In addition, the clinical study requirements of the FDA, the EMA and the European Commission, and other regulatory authorities and the criteria these regulators use to determine the safety and efficacy of a product candidate are determined according to the type, complexity, novelty and intended use and market of the potential products. The regulatory approval process for novel product candidates such as ours can be more complex and consequently more expensive and take longer than for other, better known or extensively studied pharmaceutical or other product candidates. Approvals by the European Commission and FDA for existing biologic treatments for asthma, such as dupilumab and tezepelumab, as well as other pathways to approval, may not be indicative of what these regulators may require for approval of our therapy. More generally, approvals by any regulatory authority may not be indicative of what any other regulatory authority may require for approval or what such regulatory authorities may require for approval in connection with new product candidates.</w:t>
      </w:r>
    </w:p>
    <w:p>
      <w:pPr>
        <w:spacing w:after="0" w:line="206" w:lineRule="exact"/>
        <w:rPr>
          <w:sz w:val="20"/>
          <w:szCs w:val="20"/>
          <w:color w:val="auto"/>
        </w:rPr>
      </w:pPr>
    </w:p>
    <w:p>
      <w:pPr>
        <w:jc w:val="both"/>
        <w:ind w:right="320"/>
        <w:spacing w:after="0" w:line="258" w:lineRule="auto"/>
        <w:rPr>
          <w:sz w:val="20"/>
          <w:szCs w:val="20"/>
          <w:color w:val="auto"/>
        </w:rPr>
      </w:pPr>
      <w:r>
        <w:rPr>
          <w:rFonts w:ascii="Times New Roman" w:cs="Times New Roman" w:eastAsia="Times New Roman" w:hAnsi="Times New Roman"/>
          <w:sz w:val="20"/>
          <w:szCs w:val="20"/>
          <w:color w:val="auto"/>
        </w:rPr>
        <w:t>Verekitug may also not perform successfully in clinical trials or may be associated with adverse events that distinguish it from previously approved therapies or those that may be approved in the future. Unexpected clinical outcomes could materially and adversely affect our business, results of operations and prospects.</w:t>
      </w:r>
    </w:p>
    <w:p>
      <w:pPr>
        <w:spacing w:after="0" w:line="3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our clinical trials fail to replicate positive results from earlier preclinical studies or clinical trials conducted by us or third parties, we may be unable to successfully develop, obtain regulatory approval for or commercialize verekitug or any other potential future product candidates.</w:t>
      </w:r>
    </w:p>
    <w:p>
      <w:pPr>
        <w:spacing w:after="0" w:line="6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results observed from preclinical studies or early-stage clinical trials of verekitug or any other potential future product candidates may not necessarily be predictive of the results of later-stage clinical trials that we conduct. Similarly, positive results from such preclinical studies or early-stage clinical trials may not be replicated in our subsequent preclinical studies or clinical trials. For instance, results seen in our Phase 2 clinical trials in patients with CRSwNP and patients with severe asthma may not translate to our planned Phase 3 trials. Furthermore, verekitug or any other potential future product candidates may not be able to demonstrate similar activity or adverse event profiles as other product candidates that we believe may have similar profiles. In addition, in our planned future clinical trials, we may utilize clinical trial designs or dosing regimens that have not been tested in prior clinical trials.</w:t>
      </w:r>
    </w:p>
    <w:p>
      <w:pPr>
        <w:spacing w:after="0" w:line="201"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There can be no assurance that any of our clinical trials will ultimately be successful or support further clinical development of verekitug or any other potential future product candidates. There is a high failure rate for drugs proceeding through clinical trials. 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adverse safety or efficacy observations made in clinical trials.</w:t>
      </w:r>
    </w:p>
    <w:p>
      <w:pPr>
        <w:spacing w:after="0" w:line="19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Additionally, we may utilize an “open-label” clinical trial design.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201" w:lineRule="exact"/>
        <w:rPr>
          <w:sz w:val="20"/>
          <w:szCs w:val="20"/>
          <w:color w:val="auto"/>
        </w:rPr>
      </w:pPr>
    </w:p>
    <w:p>
      <w:pPr>
        <w:jc w:val="both"/>
        <w:ind w:right="420"/>
        <w:spacing w:after="0" w:line="258" w:lineRule="auto"/>
        <w:rPr>
          <w:sz w:val="20"/>
          <w:szCs w:val="20"/>
          <w:color w:val="auto"/>
        </w:rPr>
      </w:pPr>
      <w:r>
        <w:rPr>
          <w:rFonts w:ascii="Times New Roman" w:cs="Times New Roman" w:eastAsia="Times New Roman" w:hAnsi="Times New Roman"/>
          <w:sz w:val="20"/>
          <w:szCs w:val="20"/>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European Commission, or comparable foreign regulatory authority approval.</w:t>
      </w:r>
    </w:p>
    <w:p>
      <w:pPr>
        <w:spacing w:after="0" w:line="30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may incur unexpected costs or experience delays in completing, or ultimately be unable to complete, the development and commercialization of verekitug or any other potential future product candidates, which could prevent us from achieving our projected development and commercialization goals in the timeframes we announce and expect, and harm our business and results of operations. Many of the factors that cause or lead to a delay in the initiation or completion of clinical trials may also lead to the denial of regulatory approval or limit market acceptance of verekitug or any other potential future product candidates.</w:t>
      </w:r>
    </w:p>
    <w:p>
      <w:pPr>
        <w:spacing w:after="0" w:line="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We may experience delays in completing our clinical trials or preclinical studies and initiating or completing additional clinical trials or preclinical studies, including as a result of regulators not allowing or delay in allowing clinical trials to proceed under an IND or similar foreign authorization, or not approving or delaying approval for any clinical trial grant or similar approval we need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440"/>
          </w:cols>
          <w:pgMar w:left="900" w:top="929" w:right="900" w:bottom="371" w:gutter="0" w:footer="0" w:header="0"/>
        </w:sectPr>
      </w:pPr>
    </w:p>
    <w:bookmarkStart w:id="68" w:name="page69"/>
    <w:bookmarkEnd w:id="68"/>
    <w:p>
      <w:pPr>
        <w:ind w:right="100"/>
        <w:spacing w:after="0" w:line="259" w:lineRule="auto"/>
        <w:rPr>
          <w:sz w:val="20"/>
          <w:szCs w:val="20"/>
          <w:color w:val="auto"/>
        </w:rPr>
      </w:pPr>
      <w:r>
        <w:rPr>
          <w:rFonts w:ascii="Times New Roman" w:cs="Times New Roman" w:eastAsia="Times New Roman" w:hAnsi="Times New Roman"/>
          <w:sz w:val="20"/>
          <w:szCs w:val="20"/>
          <w:color w:val="auto"/>
        </w:rPr>
        <w:t>to initiate a clinical trial. We may also experience numerous unforeseen events during our clinical trials that could delay or prevent our ability to receive marketing approval or commercialize verekitug or any other potential future product candidates we develop, including:</w:t>
      </w:r>
    </w:p>
    <w:p>
      <w:pPr>
        <w:spacing w:after="0" w:line="67" w:lineRule="exact"/>
        <w:rPr>
          <w:sz w:val="20"/>
          <w:szCs w:val="20"/>
          <w:color w:val="auto"/>
        </w:rPr>
      </w:pPr>
    </w:p>
    <w:p>
      <w:pPr>
        <w:jc w:val="both"/>
        <w:ind w:left="500" w:right="180" w:hanging="493"/>
        <w:spacing w:after="0" w:line="258" w:lineRule="auto"/>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institutional review boards (“IRBs”), ethics committees, or other reviewing bodies may not authorize us or our investigators to commence a clinical trial, or to conduct or continue a clinical trial at a prospective or specific trial site, or provide a related positive opinion permitting such activities;</w:t>
      </w:r>
    </w:p>
    <w:p>
      <w:pPr>
        <w:spacing w:after="0" w:line="67" w:lineRule="exact"/>
        <w:rPr>
          <w:rFonts w:ascii="Arial" w:cs="Arial" w:eastAsia="Arial" w:hAnsi="Arial"/>
          <w:sz w:val="20"/>
          <w:szCs w:val="20"/>
          <w:color w:val="auto"/>
        </w:rPr>
      </w:pPr>
    </w:p>
    <w:p>
      <w:pPr>
        <w:ind w:left="500" w:right="160" w:hanging="493"/>
        <w:spacing w:after="0" w:line="277" w:lineRule="auto"/>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reach agreement on acceptable terms with prospective CROs and clinical trial sites, the terms of which can be subject to extensive negotiation and may vary significantly among different CROs and trial sites;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challenges or delays in recruiting principal investigators or study sites to lead our clinical trials;</w:t>
      </w:r>
    </w:p>
    <w:p>
      <w:pPr>
        <w:spacing w:after="0" w:line="120" w:lineRule="exact"/>
        <w:rPr>
          <w:rFonts w:ascii="Arial" w:cs="Arial" w:eastAsia="Arial" w:hAnsi="Arial"/>
          <w:sz w:val="20"/>
          <w:szCs w:val="20"/>
          <w:color w:val="auto"/>
        </w:rPr>
      </w:pPr>
    </w:p>
    <w:p>
      <w:pPr>
        <w:ind w:left="500" w:right="20" w:hanging="493"/>
        <w:spacing w:after="0" w:line="252" w:lineRule="auto"/>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of subjects or patients required for clinical trials of verekitug or any other potential future product candidates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73" w:lineRule="exact"/>
        <w:rPr>
          <w:rFonts w:ascii="Arial" w:cs="Arial" w:eastAsia="Arial" w:hAnsi="Arial"/>
          <w:sz w:val="20"/>
          <w:szCs w:val="20"/>
          <w:color w:val="auto"/>
        </w:rPr>
      </w:pPr>
    </w:p>
    <w:p>
      <w:pPr>
        <w:ind w:left="500" w:right="400" w:hanging="493"/>
        <w:spacing w:after="0" w:line="259" w:lineRule="auto"/>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third-party contractors, including those manufacturing verekitug or any other potential future product candidates or conducting clinical trials on our behalf, may fail to comply with regulatory requirements or meet their contractual obligations to us in a timely manner, or at all;</w:t>
      </w:r>
    </w:p>
    <w:p>
      <w:pPr>
        <w:spacing w:after="0" w:line="65" w:lineRule="exact"/>
        <w:rPr>
          <w:rFonts w:ascii="Arial" w:cs="Arial" w:eastAsia="Arial" w:hAnsi="Arial"/>
          <w:sz w:val="20"/>
          <w:szCs w:val="20"/>
          <w:color w:val="auto"/>
        </w:rPr>
      </w:pPr>
    </w:p>
    <w:p>
      <w:pPr>
        <w:ind w:left="500" w:right="340" w:hanging="493"/>
        <w:spacing w:after="0" w:line="258" w:lineRule="auto"/>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we may have to amend clinical trial protocols submitted to regulatory authorities or conduct additional studies to reflect changes in regulatory requirements or guidance, which may be required to resubmit to an IRB, ethics committee and regulatory authorities for re-examination;</w:t>
      </w:r>
    </w:p>
    <w:p>
      <w:pPr>
        <w:spacing w:after="0" w:line="67" w:lineRule="exact"/>
        <w:rPr>
          <w:rFonts w:ascii="Arial" w:cs="Arial" w:eastAsia="Arial" w:hAnsi="Arial"/>
          <w:sz w:val="20"/>
          <w:szCs w:val="20"/>
          <w:color w:val="auto"/>
        </w:rPr>
      </w:pPr>
    </w:p>
    <w:p>
      <w:pPr>
        <w:ind w:left="500" w:hanging="493"/>
        <w:spacing w:after="0" w:line="249" w:lineRule="auto"/>
        <w:tabs>
          <w:tab w:leader="none" w:pos="50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regulators or other reviewing bodies may find deficiencies with, fail to approve or subsequently find fault with the manufacturing processes or facilities of third-party manufacturers with which we enter into agreements for clinical and commercial supplies, or the supply or quality of any product candidate or other materials necessary to conduct clinical trials of verekitug or any other potential future product candidates may be insufficient, inadequate or not available at an acceptable cost, or we may experience interruptions in supply; and</w:t>
      </w:r>
    </w:p>
    <w:p>
      <w:pPr>
        <w:spacing w:after="0" w:line="76" w:lineRule="exact"/>
        <w:rPr>
          <w:rFonts w:ascii="Arial" w:cs="Arial" w:eastAsia="Arial" w:hAnsi="Arial"/>
          <w:sz w:val="20"/>
          <w:szCs w:val="20"/>
          <w:color w:val="auto"/>
        </w:rPr>
      </w:pPr>
    </w:p>
    <w:p>
      <w:pPr>
        <w:ind w:left="500" w:right="280" w:hanging="493"/>
        <w:spacing w:after="0" w:line="304" w:lineRule="auto"/>
        <w:tabs>
          <w:tab w:leader="none" w:pos="500" w:val="left"/>
        </w:tabs>
        <w:numPr>
          <w:ilvl w:val="0"/>
          <w:numId w:val="35"/>
        </w:numPr>
        <w:rPr>
          <w:rFonts w:ascii="Arial" w:cs="Arial" w:eastAsia="Arial" w:hAnsi="Arial"/>
          <w:sz w:val="19"/>
          <w:szCs w:val="19"/>
          <w:color w:val="auto"/>
        </w:rPr>
      </w:pPr>
      <w:r>
        <w:rPr>
          <w:rFonts w:ascii="Times New Roman" w:cs="Times New Roman" w:eastAsia="Times New Roman" w:hAnsi="Times New Roman"/>
          <w:sz w:val="19"/>
          <w:szCs w:val="19"/>
          <w:color w:val="auto"/>
        </w:rPr>
        <w:t>the potential for approval policies or regulations of the FDA, the EMA, and the European Commission, or the applicable regulatory authorities to significantly change in a manner rendering our clinical data insufficient for approval.</w:t>
      </w:r>
    </w:p>
    <w:p>
      <w:pPr>
        <w:spacing w:after="0" w:line="146"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Regulators, IRBs, or ethics committees of the institutions in which clinical trials are being conducted may suspend, limit or terminate a clinical trial, or data monitoring committees may recommend that we suspend or terminate a clinical trial, due to a number of factors, including failure to conduct the clinical trial in accordance with regulatory requirements or our clinical protocols, inspection of the clinical trial operations or trial site by the FDA, the competent authorities of individual EU Member States, or other comparable foreign regulatory authorities resulting in the imposition of a clinical hold, safety issues or adverse side effects, failure to demonstrate a benefit from using a drug, changes in governmental regulations or administrative actions or lack of adequate funding to continue the clinical trial. Negative or inconclusive results from our clinical trials or preclinical studies could mandate repeated or additional clinical trials and, to the extent we choose to conduct clinical trials in other indications, could result in changes to or delays in clinical trials of verekitug or any other potential future product candidates in such other indications. We do not know whether any clinical trials that we conduct will demonstrate adequate efficacy and safety to result in regulatory approval to market verekitug or any other potential future product candidates for the indications that we are pursuing. If later-stage clinical trials do not produce favorable results, our ability to obtain regulatory approval for verekitug or any other potential future product candidates will be adversely impacted.</w:t>
      </w:r>
    </w:p>
    <w:p>
      <w:pPr>
        <w:spacing w:after="0" w:line="20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if not realized as expected, may cause the timing of achievement of the milestones to vary considerably from our estimates, including:</w:t>
      </w:r>
    </w:p>
    <w:p>
      <w:pPr>
        <w:spacing w:after="0" w:line="81" w:lineRule="exact"/>
        <w:rPr>
          <w:sz w:val="20"/>
          <w:szCs w:val="20"/>
          <w:color w:val="auto"/>
        </w:rPr>
      </w:pPr>
    </w:p>
    <w:p>
      <w:pPr>
        <w:ind w:left="500" w:hanging="493"/>
        <w:spacing w:after="0"/>
        <w:tabs>
          <w:tab w:leader="none" w:pos="5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our available capital resources or capital constraints we experience;</w:t>
      </w:r>
    </w:p>
    <w:p>
      <w:pPr>
        <w:spacing w:after="0" w:line="119" w:lineRule="exact"/>
        <w:rPr>
          <w:rFonts w:ascii="Arial" w:cs="Arial" w:eastAsia="Arial" w:hAnsi="Arial"/>
          <w:sz w:val="20"/>
          <w:szCs w:val="20"/>
          <w:color w:val="auto"/>
        </w:rPr>
      </w:pPr>
    </w:p>
    <w:p>
      <w:pPr>
        <w:ind w:left="500" w:right="200" w:hanging="493"/>
        <w:spacing w:after="0" w:line="277" w:lineRule="auto"/>
        <w:tabs>
          <w:tab w:leader="none" w:pos="50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rate of progress, costs and results of our clinical trials and research and development activities, including the extent of scheduling conflicts with participating clinicians and collaborators;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420"/>
          </w:cols>
          <w:pgMar w:left="900" w:top="929" w:right="920" w:bottom="371" w:gutter="0" w:footer="0" w:header="0"/>
        </w:sectPr>
      </w:pPr>
    </w:p>
    <w:bookmarkStart w:id="69" w:name="page70"/>
    <w:bookmarkEnd w:id="69"/>
    <w:p>
      <w:pPr>
        <w:ind w:left="500" w:hanging="493"/>
        <w:spacing w:after="0"/>
        <w:tabs>
          <w:tab w:leader="none" w:pos="5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identify and enroll patients who meet clinical trial eligibility criteria;</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receipt of approvals by the FDA and other comparable foreign regulatory authorities and the timing thereof;</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other actions, decisions or rules issued by regulators;</w:t>
      </w:r>
    </w:p>
    <w:p>
      <w:pPr>
        <w:spacing w:after="0" w:line="120" w:lineRule="exact"/>
        <w:rPr>
          <w:rFonts w:ascii="Arial" w:cs="Arial" w:eastAsia="Arial" w:hAnsi="Arial"/>
          <w:sz w:val="20"/>
          <w:szCs w:val="20"/>
          <w:color w:val="auto"/>
        </w:rPr>
      </w:pPr>
    </w:p>
    <w:p>
      <w:pPr>
        <w:ind w:left="500" w:right="400" w:hanging="493"/>
        <w:spacing w:after="0" w:line="277" w:lineRule="auto"/>
        <w:tabs>
          <w:tab w:leader="none" w:pos="5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access sufficient, reliable and affordable supplies of materials used to manufacture verekitug or any other potential future product candidates;</w:t>
      </w:r>
    </w:p>
    <w:p>
      <w:pPr>
        <w:spacing w:after="0" w:line="48" w:lineRule="exact"/>
        <w:rPr>
          <w:rFonts w:ascii="Arial" w:cs="Arial" w:eastAsia="Arial" w:hAnsi="Arial"/>
          <w:sz w:val="20"/>
          <w:szCs w:val="20"/>
          <w:color w:val="auto"/>
        </w:rPr>
      </w:pPr>
    </w:p>
    <w:p>
      <w:pPr>
        <w:ind w:left="500" w:right="440" w:hanging="493"/>
        <w:spacing w:after="0" w:line="277" w:lineRule="auto"/>
        <w:tabs>
          <w:tab w:leader="none" w:pos="5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efforts of our collaborators with respect to the commercialization of verekitug or any other potential future product candidates; and</w:t>
      </w:r>
    </w:p>
    <w:p>
      <w:pPr>
        <w:spacing w:after="0" w:line="48" w:lineRule="exact"/>
        <w:rPr>
          <w:rFonts w:ascii="Arial" w:cs="Arial" w:eastAsia="Arial" w:hAnsi="Arial"/>
          <w:sz w:val="20"/>
          <w:szCs w:val="20"/>
          <w:color w:val="auto"/>
        </w:rPr>
      </w:pPr>
    </w:p>
    <w:p>
      <w:pPr>
        <w:ind w:left="500" w:right="280" w:hanging="493"/>
        <w:spacing w:after="0" w:line="277" w:lineRule="auto"/>
        <w:tabs>
          <w:tab w:leader="none" w:pos="50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securing of, costs related to, and timing issues associated with, product manufacturing as well as sales and marketing activities.</w:t>
      </w:r>
    </w:p>
    <w:p>
      <w:pPr>
        <w:spacing w:after="0" w:line="16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If we fail to achieve announced milestones in the timeframes we expect, the development and commercialization of verekitug or any other potential future product candidates may be delayed, and our business, financial condition, results of operations and growth prospects may be harmed.</w:t>
      </w:r>
    </w:p>
    <w:p>
      <w:pPr>
        <w:spacing w:after="0" w:line="18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failure to successfully initiate and complete clinical trials and to demonstrate the efficacy and safety necessary to obtain regulatory approval to market verekitug or any other potential future product candidates would also significantly harm our business. Our development costs will also increase if we experience delays in testing or regulatory approvals and we may be required to obtain additional funds to complete clinical trials. There can be no assurance that our clinical trials will begin as planned or be completed on schedule, if at all, or that we will not need to restructure or otherwise modify our trials after they have begun. Significant clinical trial delays also could shorten any periods during which we may have the exclusive right to commercialize verekitug or any other potential future product candidates or allow our competitors to bring products to market before we do and impair our ability to successfully commercialize verekitug or any other potential future product candidates, which may harm our business, financial condition, results of operations and growth prospects. In addition, many of the factors that cause, or lead to, delays of clinical trials may ultimately lead to the denial of regulatory approval of verekitug or any other potential future product candidates.</w:t>
      </w:r>
    </w:p>
    <w:p>
      <w:pPr>
        <w:spacing w:after="0" w:line="208"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If we experience delays in obtaining approval or if we fail to obtain approval of verekitug or any other potential future product candidates we may develop, the commercial prospects for such product candidate may be harmed, and our ability to generate revenues will be materially impaired.</w:t>
      </w:r>
    </w:p>
    <w:p>
      <w:pPr>
        <w:spacing w:after="0" w:line="308"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Interim, initial, top-line and preliminary data from our clinical trials that we announce or publish from time to time may change as more patient data becomes available and are subject to audit and verification procedures that could result in material changes in the final data.</w:t>
      </w:r>
    </w:p>
    <w:p>
      <w:pPr>
        <w:spacing w:after="0" w:line="68"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 From time to time, we publicly disclose preliminary or top-line data from our preclinical studies and clinical trials, which are based on preliminary analyses of then-available data, and the results and related findings and conclusions are subject to change following a more comprehensive review of the data related to the particular preclinical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preclinical studies and clinical trials. Interim data from clinical trials that we may complete are subject to the risk that one or more of the clinical outcomes may materially change as participants enrollment continues and more participants’ data become available or as participants from our clinical trials continue other treatments for their disease. Adverse differences between interim data and final data could significantly harm our business prospects.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could adversely affect the success of our business. In addition, the information we choose to publicly disclose regarding a particular study or clinical trial is based on what is typically extensive information, and investors may not agree with what we determine is material or otherwise appropriate information to include in our disclosure. If the interim, top-line or preliminary data that we report differ from actual results, or if others, including regulatory authorities, disagree with the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420"/>
          </w:cols>
          <w:pgMar w:left="900" w:top="931" w:right="920" w:bottom="371" w:gutter="0" w:footer="0" w:header="0"/>
        </w:sectPr>
      </w:pPr>
    </w:p>
    <w:bookmarkStart w:id="70" w:name="page71"/>
    <w:bookmarkEnd w:id="70"/>
    <w:p>
      <w:pPr>
        <w:spacing w:after="0" w:line="247" w:lineRule="auto"/>
        <w:rPr>
          <w:sz w:val="20"/>
          <w:szCs w:val="20"/>
          <w:color w:val="auto"/>
        </w:rPr>
      </w:pPr>
      <w:r>
        <w:rPr>
          <w:rFonts w:ascii="Times New Roman" w:cs="Times New Roman" w:eastAsia="Times New Roman" w:hAnsi="Times New Roman"/>
          <w:sz w:val="20"/>
          <w:szCs w:val="20"/>
          <w:color w:val="auto"/>
        </w:rPr>
        <w:t>conclusions reached, our ability to obtain approval for, and commercialize, verekitug or any other potential future product candidates may be harmed, which could harm our business, financial condition, results of operations and growth prospects. Further, disclosure of interim, top-line or preliminary data by us or by our competitors could result in volatility in the price of our common stock. Furthermore, if we fail to replicate the positive results from our preclinical studies or clinical trials in our future clinical trials, we may be unable to successfully develop, obtain regulatory approval for and commercialize verekitug or any other potential future product candidates.</w:t>
      </w:r>
    </w:p>
    <w:p>
      <w:pPr>
        <w:spacing w:after="0" w:line="320"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encounter difficulties enrolling patients in our clinical trials, our clinical development activities could be delayed or otherwise adversely affected.</w:t>
      </w:r>
    </w:p>
    <w:p>
      <w:pPr>
        <w:spacing w:after="0" w:line="48" w:lineRule="exact"/>
        <w:rPr>
          <w:sz w:val="20"/>
          <w:szCs w:val="20"/>
          <w:color w:val="auto"/>
        </w:rPr>
      </w:pPr>
    </w:p>
    <w:p>
      <w:pPr>
        <w:jc w:val="both"/>
        <w:ind w:right="520"/>
        <w:spacing w:after="0" w:line="258" w:lineRule="auto"/>
        <w:rPr>
          <w:sz w:val="20"/>
          <w:szCs w:val="20"/>
          <w:color w:val="auto"/>
        </w:rPr>
      </w:pPr>
      <w:r>
        <w:rPr>
          <w:rFonts w:ascii="Times New Roman" w:cs="Times New Roman" w:eastAsia="Times New Roman" w:hAnsi="Times New Roman"/>
          <w:sz w:val="20"/>
          <w:szCs w:val="20"/>
          <w:color w:val="auto"/>
        </w:rPr>
        <w:t>We may experience difficulties in patient enrollment in our clinical trials for a variety of reasons. The timely completion of clinical trials in accordance with our protocols depends, among other things, on our ability to enroll a sufficient number of patients who remain in the study until its conclusion. Patient enrollment is affected by many factors, including:</w:t>
      </w:r>
    </w:p>
    <w:p>
      <w:pPr>
        <w:spacing w:after="0" w:line="68" w:lineRule="exact"/>
        <w:rPr>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patient eligibility and exclusion criteria defined in the protocol;</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size of the patient population required for analysis of the trial’s primary endpoints;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location of study sites and proximity of patients to study sites;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design of the trial;</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clinical trial investigators with the appropriate competencies and experience;</w:t>
      </w:r>
    </w:p>
    <w:p>
      <w:pPr>
        <w:spacing w:after="0" w:line="120" w:lineRule="exact"/>
        <w:rPr>
          <w:rFonts w:ascii="Arial" w:cs="Arial" w:eastAsia="Arial" w:hAnsi="Arial"/>
          <w:sz w:val="20"/>
          <w:szCs w:val="20"/>
          <w:color w:val="auto"/>
        </w:rPr>
      </w:pPr>
    </w:p>
    <w:p>
      <w:pPr>
        <w:ind w:left="500" w:right="360" w:hanging="493"/>
        <w:spacing w:after="0" w:line="258" w:lineRule="auto"/>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67" w:lineRule="exact"/>
        <w:rPr>
          <w:rFonts w:ascii="Arial" w:cs="Arial" w:eastAsia="Arial" w:hAnsi="Arial"/>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patient consents; and</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risk that patients enrolled in our clinical trials will drop out of the trials before completion.</w:t>
      </w:r>
    </w:p>
    <w:p>
      <w:pPr>
        <w:spacing w:after="0" w:line="24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may experience challenges in recruiting principal investigators and patients to participate in ongoing and future clinical trials for verekitug or any other potential future product candidates if we are unable to sufficiently demonstrate the potential of such product candidates. In addition, our clinical trials may compete with other clinical trials for product candidates that are in the same therapeutic areas as verekitug or any other potential future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may conduct some of our clinical trials at the same clinical trial sites that some of our competitors use, which will reduce the number of patients who are available for our clinical trials in such clinical trial site. Furthermore, if significant adverse events or other side effects are observed in any of our clinical trials, we may have difficulty recruiting patients to our trials and patients may drop out of our trials.</w:t>
      </w:r>
    </w:p>
    <w:p>
      <w:pPr>
        <w:spacing w:after="0" w:line="20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If we are unable to enroll a sufficient number of patients for our clinical trials, it would result in significant delays or might require us to abandon one or more clinical trials or our development efforts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verekitug or any other potential future product candidates, cause the value of the company to decline and limit our ability to obtain additional financing if needed.</w:t>
      </w:r>
    </w:p>
    <w:p>
      <w:pPr>
        <w:spacing w:after="0" w:line="32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Verekitug or any other potential future product candidates may cause undesirable side effects or have other properties that could delay or prevent regulatory approval, limit the commercial profile of an approved label, or result in significant negative consequences following regulatory approval, if obtained.</w:t>
      </w:r>
    </w:p>
    <w:p>
      <w:pPr>
        <w:spacing w:after="0" w:line="6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Undesirable side effects caused by verekitug or any other potential future product candidates could cause us or regulatory authorities to interrupt, delay or halt clinical trials and could result in a more restrictive label or the delay or denial of regulatory approval by the FDA, European Commission, or other comparable foreign regulatory authorities. We may also observe additional safety or tolerability issues with verekitug or any other potential future product candidates in ongoing or future clinical trials.</w:t>
      </w:r>
    </w:p>
    <w:p>
      <w:pPr>
        <w:spacing w:after="0" w:line="193"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color w:val="auto"/>
        </w:rPr>
        <w:t>Many compounds that initially showed promise in clinical or earlier-stage testing are later found to cause undesirable or unexpected side effects that prevented further development of the compound. Results of ongoing or future clinical trials of</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400"/>
          </w:cols>
          <w:pgMar w:left="900" w:top="929" w:right="940" w:bottom="371" w:gutter="0" w:footer="0" w:header="0"/>
        </w:sectPr>
      </w:pPr>
    </w:p>
    <w:bookmarkStart w:id="71" w:name="page72"/>
    <w:bookmarkEnd w:id="71"/>
    <w:p>
      <w:pPr>
        <w:ind w:right="40"/>
        <w:spacing w:after="0" w:line="247" w:lineRule="auto"/>
        <w:rPr>
          <w:sz w:val="20"/>
          <w:szCs w:val="20"/>
          <w:color w:val="auto"/>
        </w:rPr>
      </w:pPr>
      <w:r>
        <w:rPr>
          <w:rFonts w:ascii="Times New Roman" w:cs="Times New Roman" w:eastAsia="Times New Roman" w:hAnsi="Times New Roman"/>
          <w:sz w:val="20"/>
          <w:szCs w:val="20"/>
          <w:color w:val="auto"/>
        </w:rPr>
        <w:t>verekitug or any other potential future product candidates could reveal a high and unacceptable severity and prevalence of side effects or unexpected characteristics, despite a favorable tolerability profile observed in earlier-stage testing. In addition, although we believe that verekitug’s mechanism of action may differentiate it from other products that address the TSLP signaling pathway, such as tezepelumab, adverse events observed in clinical studies or postmarket use of these products may also be observed with verekitug, which could impact our ability to recruit patients to our clinical trials and our clinical development strategy.</w:t>
      </w:r>
    </w:p>
    <w:p>
      <w:pPr>
        <w:spacing w:after="0" w:line="20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If unacceptable side effects arise in the development of verekitug or any other potential future product candidates, we, the FDA, competent authorities of individual EU Member States, or other comparable foreign regulatory authorities, the IRBs, or independent ethics committees at the institutions in which our trials are conducted, could suspend, limit or terminate our clinical trials, or the independent safety monitoring committee could recommend that we suspend, limit or terminate our trials, or the FDA, competent authorities of individual EU Member States or other comparable foreign regulatory authorities could order us to cease clinical trials, or the FDA, the European Commission, or other comparable foreign regulatory authorities could deny approval of verekitug or any other potential future product candidates for any or all targeted indications. Treatment-emergent side effects that are deemed to be drug-related could delay recruitment of clinical trial subjects or may cause subjects that enroll in our clinical trials to discontinue participation in our clinical trials. In addition, these side effects may not be appropriately recognized or managed by the treating medical staff. We may need to train medical personnel using verekitug or any other potential future product candidates to understand the side effect profiles for our clinical trials and upon any commercialization of verekitug or any other potential future product candidates. Inadequate training in recognizing or managing the potential side effects of verekitug or any other potential future product candidates could result in harm to patients that are administered verekitug or any other potential future product candidates. Any of these occurrences may adversely affect our business, financial condition, results of operations and growth prospects significantly.</w:t>
      </w:r>
    </w:p>
    <w:p>
      <w:pPr>
        <w:spacing w:after="0" w:line="2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Moreover, clinical trials are conducted in carefully defined sets of patients who have agreed to enter into clinical trials. With a limited number of patients and limited duration of exposure, rare and severe side effects of our current or future product candidates may only be uncovered with a larger number of patients exposed to the product candidate. It is possible that our clinical trials may indicate an apparent positive effect of a product candidate that is greater than the actual positive effect, if any, or alternatively fail to identify undesirable side effects.</w:t>
      </w:r>
    </w:p>
    <w:p>
      <w:pPr>
        <w:spacing w:after="0" w:line="31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expand our development of verekitug into additional indications, or discover or acquire, and subsequently develop and commercialize other product candidates, we may be unable to grow our business and our ability to achieve our strategic objectives would be impaired.</w:t>
      </w:r>
    </w:p>
    <w:p>
      <w:pPr>
        <w:spacing w:after="0" w:line="65"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Although the development and potential commercialization of verekitug in severe asthma, CRSwNP and COPD are our initial focus, as part of our longer-term growth strategy, we plan to initiate and advance development of verekitug in additional indications. Expansion into new indications will require additional, time-consuming development efforts prior to commercial sale, including preclinical studies, clinical trials and approval by the FDA, the European Commission, and comparable foreign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there can be no assurance that any such products that are approved will be manufactured or produced economically, successfully commercialized or widely accepted in the marketplace or be more effective than other commercially available alternatives.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commercialization of verekitug or any other potential future product candidates</w:t>
      </w:r>
    </w:p>
    <w:p>
      <w:pPr>
        <w:spacing w:after="0" w:line="12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Even if verekitug or any other potential future product candidates receive regulatory approval, such product candidate may fail to achieve the degree of market acceptance by physicians, patients, third-party payors and others in the medical community necessary for commercial success, in which case we may not generate significant revenues or become profitable.</w:t>
      </w:r>
    </w:p>
    <w:p>
      <w:pPr>
        <w:spacing w:after="0" w:line="5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We have never commercialized a product, and even if verekitug or any other potential future product candidate is approved by the appropriate regulatory authorities for marketing and sale, such product candidate may nonetheless fail to achieve sufficient market acceptance by physicians, patients, third-party payors and others in the medical community. Many of the indications for verekitug have well-established standards of care that physicians, patients and payors are familiar with. Even if verekitug or any other potential future product candidates are successful in registrational clinical trials, such product candidate may not be successful in displacing these current standards of care if we are unable to demonstrate superior efficacy, safety, ease of administration and/or cost-effectiveness. For example, physicians may be reluctant to take their patients off their current medications and switch their treatment regimen to verekitug or any other potential future product candidates. Further, patients often acclimate to the treatment regimen that they are currently taking and do not want to switch unless their physicians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440"/>
          </w:cols>
          <w:pgMar w:left="900" w:top="929" w:right="900" w:bottom="371" w:gutter="0" w:footer="0" w:header="0"/>
        </w:sectPr>
      </w:pPr>
    </w:p>
    <w:bookmarkStart w:id="72" w:name="page73"/>
    <w:bookmarkEnd w:id="72"/>
    <w:p>
      <w:pPr>
        <w:ind w:right="20"/>
        <w:spacing w:after="0" w:line="259" w:lineRule="auto"/>
        <w:rPr>
          <w:sz w:val="20"/>
          <w:szCs w:val="20"/>
          <w:color w:val="auto"/>
        </w:rPr>
      </w:pPr>
      <w:r>
        <w:rPr>
          <w:rFonts w:ascii="Times New Roman" w:cs="Times New Roman" w:eastAsia="Times New Roman" w:hAnsi="Times New Roman"/>
          <w:sz w:val="20"/>
          <w:szCs w:val="20"/>
          <w:color w:val="auto"/>
        </w:rPr>
        <w:t>recommend switching products or they are required to switch due to lack of coverage and adequate reimbursement. Even if we are able to demonstrate verekitug’s or any other potential future product candidates’ safety and efficacy to the FDA, the European Commission, and other regulators, safety or efficacy concerns in the medical community may hinder market acceptance.</w:t>
      </w:r>
    </w:p>
    <w:p>
      <w:pPr>
        <w:spacing w:after="0" w:line="185"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Efforts to educate the medical community and third-party payors on the benefits of verekitug or any other potential future product candidates may require significant resources, including management time and financial resources, and may not be successful. If verekitug or any other potential future product candidates are approved but do not achieve an adequate level of market acceptance, we may not generate significant revenues and we may not become profitable. The degree of market acceptance of verekitug or any other potential future product candidates, if approved for commercial sale, will depend on a number of factors, including:</w:t>
      </w:r>
    </w:p>
    <w:p>
      <w:pPr>
        <w:spacing w:after="0" w:line="81" w:lineRule="exact"/>
        <w:rPr>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efficacy and safety of the product;</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advantages of the product compared to competitive therapies;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side effects;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whether the product is designated under physician treatment guidelines as a first-, second- or third-line therapy;</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or the ability of any future collaborators, to offer the product for sale at competitive prices;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product’s convenience and ease of administration compared to alternative treatments;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and of physicians to prescribe, the product;</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including distribution or use restrictions contained in the product’s approved labeling;</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sales, marketing and distribution support;</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standard of care for the targeted indications for the product; and</w:t>
      </w:r>
    </w:p>
    <w:p>
      <w:pPr>
        <w:spacing w:after="0" w:line="119" w:lineRule="exact"/>
        <w:rPr>
          <w:rFonts w:ascii="Arial" w:cs="Arial" w:eastAsia="Arial" w:hAnsi="Arial"/>
          <w:sz w:val="20"/>
          <w:szCs w:val="20"/>
          <w:color w:val="auto"/>
        </w:rPr>
      </w:pPr>
    </w:p>
    <w:p>
      <w:pPr>
        <w:ind w:left="500" w:right="300" w:hanging="493"/>
        <w:spacing w:after="0" w:line="277" w:lineRule="auto"/>
        <w:tabs>
          <w:tab w:leader="none" w:pos="50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availability and adequacy of coverage and reimbursement from government payors, managed care plans and other third-party payors.</w:t>
      </w:r>
    </w:p>
    <w:p>
      <w:pPr>
        <w:spacing w:after="0" w:line="169" w:lineRule="exact"/>
        <w:rPr>
          <w:sz w:val="20"/>
          <w:szCs w:val="20"/>
          <w:color w:val="auto"/>
        </w:rPr>
      </w:pPr>
    </w:p>
    <w:p>
      <w:pPr>
        <w:ind w:right="600"/>
        <w:spacing w:after="0" w:line="278" w:lineRule="auto"/>
        <w:rPr>
          <w:sz w:val="20"/>
          <w:szCs w:val="20"/>
          <w:color w:val="auto"/>
        </w:rPr>
      </w:pPr>
      <w:r>
        <w:rPr>
          <w:rFonts w:ascii="Times New Roman" w:cs="Times New Roman" w:eastAsia="Times New Roman" w:hAnsi="Times New Roman"/>
          <w:sz w:val="20"/>
          <w:szCs w:val="20"/>
          <w:color w:val="auto"/>
        </w:rPr>
        <w:t>Any failure by verekitug or any other potential future product candidate that obtains regulatory approval to achieve market acceptance or commercial success would adversely affect our business prospects.</w:t>
      </w:r>
    </w:p>
    <w:p>
      <w:pPr>
        <w:spacing w:after="0" w:line="2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Competitive products may reduce or eliminate the commercial opportunity for verekitug or any other potential future product candidates, if approved. If our competitors develop technologies or product candidates more rapidly than we do, or their technologies or product candidates are more effective or safer than ours, our ability to develop and successfully commercialize verekitug or any other potential future product candidates may be adversely affected.</w:t>
      </w:r>
    </w:p>
    <w:p>
      <w:pPr>
        <w:spacing w:after="0" w:line="7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clinical and commercial landscapes for the treatment of inflammatory diseases are highly competitive and subject to rapid and significant technological change. We face competition with respect to our indications for verekitug and will face competition with respect to any other drug candidates that we may seek to develop or commercialize in the future, from major pharmaceutical companies, specialty pharmaceutical companies and biotechnology companies worldwide. There are a number of large pharmaceutical and biotechnology companies, such as Sanofi, Regeneron, AstraZeneca and Amgen, that currently market and sell drugs or are pursuing the development of drug candidates for the treatment of the indications that we are pursuing.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20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believe that a significant number of product candidates are currently under development for the same indications we are currently pursuing, and some or all may become commercially available in the future for the treatment of conditions for which we are trying or may try to develop product candidates. Our potential competitors include large pharmaceutical and biotechnology companies, specialty pharmaceutical and generic drug companies, academic institutions, government agencies and research institutions. See the section titled “Business—Competition” for examples of the competition that verekitug faces.</w:t>
      </w:r>
    </w:p>
    <w:p>
      <w:pPr>
        <w:spacing w:after="0" w:line="19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color w:val="auto"/>
        </w:rPr>
        <w:t>In most cases, we do not currently plan to run head-to-head clinical trials evaluating verekitug or any other potential future product candidates against the current standards of care, which may make it more challenging for verekitug or any other potential future product candidates to compete against the current standards of care due to the lack of head-to-head clinical trial data.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420"/>
          </w:cols>
          <w:pgMar w:left="900" w:top="929" w:right="920" w:bottom="371" w:gutter="0" w:footer="0" w:header="0"/>
        </w:sectPr>
      </w:pPr>
    </w:p>
    <w:bookmarkStart w:id="73" w:name="page74"/>
    <w:bookmarkEnd w:id="73"/>
    <w:p>
      <w:pPr>
        <w:ind w:right="80"/>
        <w:spacing w:after="0" w:line="244" w:lineRule="auto"/>
        <w:rPr>
          <w:sz w:val="20"/>
          <w:szCs w:val="20"/>
          <w:color w:val="auto"/>
        </w:rPr>
      </w:pPr>
      <w:r>
        <w:rPr>
          <w:rFonts w:ascii="Times New Roman" w:cs="Times New Roman" w:eastAsia="Times New Roman" w:hAnsi="Times New Roman"/>
          <w:sz w:val="20"/>
          <w:szCs w:val="20"/>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Accordingly, our competitors may be more successful than we may be in obtaining regulatory approval for therapies and achieving widespread market acceptance. Our competitors’ products may be more effective, or more effectively marketed and sold, than verekitug or any other potential future product candidates we may commercialize and may render our therapies obsolete or non-competitive before we can recover development and commercialization expenses. If verekitug or any other potential future product candidates are approved, it could compete with a range of therapeutic treatments that are in development. In addition, our competitors may succeed in developing, acquiring or licensing technologies and drug products that are more effective or less costly than verekitug or any other potential future product candidates, which could render verekitug or any other potential future product candidates obsolete and noncompetitive.</w:t>
      </w:r>
    </w:p>
    <w:p>
      <w:pPr>
        <w:spacing w:after="0" w:line="20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If we obtain approval for verekitug or any other potential future product candidates, we may face competition based on many different factors, including the efficacy, safety and tolerability of our products, the ease with which our products can be administered, the timing and scope of regulatory approvals for these products, the availability and cost of manufacturing, marketing and sales capabilities, price, reimbursement coverage and patent position. Existing and future competing products could present superior treatment alternatives, including being more effective, safer, less expensive or marketed and sold more effectively than any products we may develop. Competitive products may make any products we develop obsolete or noncompetitive before we recover the expense of developing and commercializing verekitug or any other potential future product candidates. Such competitors could also recruit our employees, which could negatively impact our level of expertise and our ability to execute our business plan.</w:t>
      </w:r>
    </w:p>
    <w:p>
      <w:pPr>
        <w:spacing w:after="0" w:line="2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addition, our competitors may obtain patent protection, regulatory exclusivities or FDA approval and commercialize products more rapidly than we do, which may impact future approvals or sales of verekitug or any other potential future product candidates that receive regulatory approval. If the FDA approves the commercial sale of verekitug or any other potential future product candidates, we will also be competing with respect to marketing capabilities and manufacturing efficiency. We expect competition among products will be based on product efficacy and safety, the timing and scope of regulatory approvals, availability of supply, marketing and sales capabilities, product price, reimbursement coverage by government and private third-party payors, regulatory exclusivities and patent position. Our profitability and financial position will suffer if verekitug or any other potential future product candidates receives regulatory approval but cannot compete effectively in the marketplace.</w:t>
      </w:r>
    </w:p>
    <w:p>
      <w:pPr>
        <w:spacing w:after="0" w:line="20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and establishing clinical trial sites, as well as in acquiring technologies complementary to, or necessary for, our programs.</w:t>
      </w:r>
    </w:p>
    <w:p>
      <w:pPr>
        <w:spacing w:after="0" w:line="31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develop our sales, marketing and distribution capability on our own or through collaborations with marketing partners, we will not be successful in commercializing verekitug or any other potential future product candidates.</w:t>
      </w:r>
    </w:p>
    <w:p>
      <w:pPr>
        <w:spacing w:after="0" w:line="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currently have no marketing, sales or distribution capabilities. We intend to establish a sales and marketing organization, either on our own or in collaboration with third parties, with technical expertise and supporting distribution capabilities to commercialize verekitug or any other potential future product candidates that may receive regulatory approval in key territories. These efforts will require substantial additional resources, some or all of which may be incurred in advance of any approval of the product candidate. Any failure or delay in the development of our or third parties’ internal sales, marketing and distribution capabilities would adversely impact the commercialization of verekitug or any other potential future product candidates.</w:t>
      </w:r>
    </w:p>
    <w:p>
      <w:pPr>
        <w:spacing w:after="0" w:line="200" w:lineRule="exact"/>
        <w:rPr>
          <w:sz w:val="20"/>
          <w:szCs w:val="20"/>
          <w:color w:val="auto"/>
        </w:rPr>
      </w:pPr>
    </w:p>
    <w:p>
      <w:pPr>
        <w:ind w:right="560"/>
        <w:spacing w:after="0" w:line="278" w:lineRule="auto"/>
        <w:rPr>
          <w:sz w:val="20"/>
          <w:szCs w:val="20"/>
          <w:color w:val="auto"/>
        </w:rPr>
      </w:pPr>
      <w:r>
        <w:rPr>
          <w:rFonts w:ascii="Times New Roman" w:cs="Times New Roman" w:eastAsia="Times New Roman" w:hAnsi="Times New Roman"/>
          <w:sz w:val="20"/>
          <w:szCs w:val="20"/>
          <w:color w:val="auto"/>
        </w:rPr>
        <w:t>Factors that may inhibit our efforts to commercialize verekitug or any other potential future product candidates on our own include:</w:t>
      </w:r>
    </w:p>
    <w:p>
      <w:pPr>
        <w:spacing w:after="0" w:line="48" w:lineRule="exact"/>
        <w:rPr>
          <w:sz w:val="20"/>
          <w:szCs w:val="20"/>
          <w:color w:val="auto"/>
        </w:rPr>
      </w:pPr>
    </w:p>
    <w:p>
      <w:pPr>
        <w:ind w:left="500" w:hanging="493"/>
        <w:spacing w:after="0"/>
        <w:tabs>
          <w:tab w:leader="none" w:pos="5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recruit and retain an adequate number of effective sales and marketing personnel;</w:t>
      </w:r>
    </w:p>
    <w:p>
      <w:pPr>
        <w:spacing w:after="0" w:line="119" w:lineRule="exact"/>
        <w:rPr>
          <w:rFonts w:ascii="Arial" w:cs="Arial" w:eastAsia="Arial" w:hAnsi="Arial"/>
          <w:sz w:val="20"/>
          <w:szCs w:val="20"/>
          <w:color w:val="auto"/>
        </w:rPr>
      </w:pPr>
    </w:p>
    <w:p>
      <w:pPr>
        <w:ind w:left="500" w:right="360" w:hanging="493"/>
        <w:spacing w:after="0" w:line="277" w:lineRule="auto"/>
        <w:tabs>
          <w:tab w:leader="none" w:pos="5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of sales personnel to obtain access to or persuade an adequate number of physicians to prescribe any future products;</w:t>
      </w:r>
    </w:p>
    <w:p>
      <w:pPr>
        <w:spacing w:after="0" w:line="48" w:lineRule="exact"/>
        <w:rPr>
          <w:rFonts w:ascii="Arial" w:cs="Arial" w:eastAsia="Arial" w:hAnsi="Arial"/>
          <w:sz w:val="20"/>
          <w:szCs w:val="20"/>
          <w:color w:val="auto"/>
        </w:rPr>
      </w:pPr>
    </w:p>
    <w:p>
      <w:pPr>
        <w:ind w:left="500" w:right="520" w:hanging="493"/>
        <w:spacing w:after="0" w:line="277" w:lineRule="auto"/>
        <w:tabs>
          <w:tab w:leader="none" w:pos="5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complementary products to be offered by sales personnel, which may put us at a competitive disadvantage relative to companies with more extensive product lines; and</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costs and expenses associated with creating an independent sales and marketing organization.</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420"/>
          </w:cols>
          <w:pgMar w:left="900" w:top="929" w:right="920" w:bottom="371" w:gutter="0" w:footer="0" w:header="0"/>
        </w:sectPr>
      </w:pPr>
    </w:p>
    <w:bookmarkStart w:id="74" w:name="page75"/>
    <w:bookmarkEnd w:id="74"/>
    <w:p>
      <w:pPr>
        <w:spacing w:after="0" w:line="247" w:lineRule="auto"/>
        <w:rPr>
          <w:sz w:val="20"/>
          <w:szCs w:val="20"/>
          <w:color w:val="auto"/>
        </w:rPr>
      </w:pPr>
      <w:r>
        <w:rPr>
          <w:rFonts w:ascii="Times New Roman" w:cs="Times New Roman" w:eastAsia="Times New Roman" w:hAnsi="Times New Roman"/>
          <w:sz w:val="20"/>
          <w:szCs w:val="20"/>
          <w:color w:val="auto"/>
        </w:rPr>
        <w:t>With respect to verekitug or any other potential future product candidates, we may choose to collaborate with third parties that have direct sales forces and established distribution systems to serve as an alternative to our own sales force and distribution systems. Our future product revenue may be lower than if we directly marketed or sold verekitug or any other potential future product candidates, if approved. In addition, any revenue we receive will depend in whole or in part upon the efforts of these third parties, which may not be successful and are generally not within our control. If we are not successful in commercializing any approved products, our future product revenue will suffer and we may incur significant additional losses.</w:t>
      </w:r>
    </w:p>
    <w:p>
      <w:pPr>
        <w:spacing w:after="0" w:line="20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color w:val="auto"/>
        </w:rPr>
        <w:t>If we do not establish sales and marketing capabilities successfully, either on our own or in collaboration with third parties, we will not be successful in commercializing verekitug or any other potential future product candidates.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increasing use of social media platforms presents new risks and challenges.</w:t>
      </w:r>
    </w:p>
    <w:p>
      <w:pPr>
        <w:spacing w:after="0" w:line="119"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employee matters and managing growth</w:t>
      </w:r>
    </w:p>
    <w:p>
      <w:pPr>
        <w:spacing w:after="0" w:line="124"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We expect to expand our organization, and as a result, we may encounter difficulties in managing our growth, which could disrupt our operations.</w:t>
      </w:r>
    </w:p>
    <w:p>
      <w:pPr>
        <w:spacing w:after="0" w:line="4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expect to experience significant growth in the number of our employees and the scope of our operations, particularly in the areas of regulatory affairs and sales, marketing and distribution, as well as to continue to support our public company operations. To manage these growth activities, we must continue to implement and improve our managerial, operational, quality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 ability to generate revenues could be reduced and we may not be able to implement our business strategy, including the successful commercialization of verekitug or any other potential future product candidates.</w:t>
      </w:r>
    </w:p>
    <w:p>
      <w:pPr>
        <w:spacing w:after="0" w:line="33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ability to develop verekitug or any other potential future product candidates and our future growth depends on attracting, hiring and retaining our key personnel and recruiting additional qualified personnel.</w:t>
      </w:r>
    </w:p>
    <w:p>
      <w:pPr>
        <w:spacing w:after="0" w:line="4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success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verekitug or any other potential future product candidates. As we continue developing verekitug or any other potential future product candidates, we will require personnel with medical, scientific, or technical qualifications specific to each program. The loss of key personnel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420"/>
          </w:cols>
          <w:pgMar w:left="900" w:top="929" w:right="920" w:bottom="371" w:gutter="0" w:footer="0" w:header="0"/>
        </w:sectPr>
      </w:pPr>
    </w:p>
    <w:bookmarkStart w:id="75" w:name="page76"/>
    <w:bookmarkEnd w:id="75"/>
    <w:p>
      <w:pPr>
        <w:ind w:right="120"/>
        <w:spacing w:after="0" w:line="259" w:lineRule="auto"/>
        <w:rPr>
          <w:sz w:val="20"/>
          <w:szCs w:val="20"/>
          <w:color w:val="auto"/>
        </w:rPr>
      </w:pPr>
      <w:r>
        <w:rPr>
          <w:rFonts w:ascii="Times New Roman" w:cs="Times New Roman" w:eastAsia="Times New Roman" w:hAnsi="Times New Roman"/>
          <w:sz w:val="20"/>
          <w:szCs w:val="20"/>
          <w:color w:val="auto"/>
        </w:rPr>
        <w:t>employees. We face competition for personnel from other companies, universities, public and private research institutions, and other organizations. If our recruitment and retention efforts are unsuccessful in the future, it may be difficult for us to implement our business strategy, which would have a material adverse effect on our business.</w:t>
      </w:r>
    </w:p>
    <w:p>
      <w:pPr>
        <w:spacing w:after="0" w:line="1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our clinical operations and research and development programs depend on our ability to attract and retain highly skilled scientists, data scientists, and engineers, particularly in Massachusetts. There is powerful competition for skilled personnel in these geographical markets, and we have from time to time experienced, and we expect to continue to experience, difficulty in hiring and retaining employees with appropriate qualifications on acceptable terms, or at all. Many of the companies with which we compete for experienced personnel have greater resources than we do, and any of our employees may terminate their employment with us at any time.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we fail to attract new personnel or fail to retain and motivate our current personnel, our business and future growth prospects would be harmed.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164" w:lineRule="exact"/>
        <w:rPr>
          <w:sz w:val="20"/>
          <w:szCs w:val="20"/>
          <w:color w:val="auto"/>
        </w:rPr>
      </w:pPr>
    </w:p>
    <w:p>
      <w:pPr>
        <w:ind w:right="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We currently rely, and plan to rely in the future, on third parties to conduct and support our clinical trials. If they do not perform satisfactorily, we may not be able to obtain regulatory approval or commercialize verekitug or any other potential future product candidates, or such approval or commercialization may be delayed, and our business could be substantially harmed.</w:t>
      </w:r>
    </w:p>
    <w:p>
      <w:pPr>
        <w:spacing w:after="0" w:line="74"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have relied upon and plan to continue to rely on third parties, such as CROs, clinical data management organizations, medical institutions and clinical investigators, to conduct our clinical trials and expect to rely on these third parties to conduct clinical trials for verekitug or any other potential future product candidates that we develop. Our ability to complete clinical trials in a timely fashion depends on a number of key factors. These factors include protocol design, regulatory and IRB approval, or positive opinions from ethics committees, patient enrollment rates and compliance with GCPs. We have opened clinical trial sites and are enrolling patients in a number of countries where our experience is limited. In most cases, we use the services of third parties, including CROs, to carry out our clinical trial-related activities and rely on such parties to accurately report their results. Our reliance on third parties for clinical development activities may impact or limit our control over the timing, conduct, expense and quality of our clinical trials. Moreover, the FDA requires us to comply with GCPs for conducting, recording and reporting the results of clinical trials to assure that data and reported results are credible and accurate and that the rights, integrity and confidentiality of trial participants are protected. The FDA enforces these GCPs through periodic inspections of clinical trial sponsors, principal investigators, clinical trial sites and IRBs. For certain commercial prescription drug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Comparable requirements and enforcement actions apply in foreign countries.</w:t>
      </w:r>
    </w:p>
    <w:p>
      <w:pPr>
        <w:spacing w:after="0" w:line="20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remain responsible for ensuring that each of our trials is conducted in accordance with the applicable protocol, informed consent forms submitted to competent regulatory authorities, legal and regulatory requirements and scientific standards. Our failure or the failure of third parties to comply with the applicable protocol, informed consent forms, legal and regulatory requirements and scientific standards can result in rejection of our clinical trial data or other sanctions. If we or our third -party clinical trial providers or third-party CROs do not successfully carry out these clinical activities, our clinical trials or the potential regulatory approval of a product candidate may be delayed or be unsuccessful. Additionally, if we or our third-party contractors fail to comply with applicable GCPs, the clinical data generated in our clinical trials may be deemed unreliable and the FDA or comparable foreign regulatory authorities may require us to perform additional clinical trials before approving verekitug or any other potential future product candidates, which would delay the regulatory approval process. We cannot be certain that, upon inspection, the FDA or comparable foreign regulatory authorities will determine that any of our clinical trials comply with GCPs. We are also required to register certain clinical trials and post the results of completed clinical trials on a government-sponsored database, ClinicalTrials.gov, within certain timeframes. Failure to do so can result in fines, adverse publicity and civil and criminal sanctions. Comparable transparency and publication requirements apply in foreign countries.</w:t>
      </w:r>
    </w:p>
    <w:p>
      <w:pPr>
        <w:spacing w:after="0" w:line="20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Furthermore, 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Furthermore, at clinical trial sites, the availability of staff and trial participants has been limited due to a decrease in the number of clinical investigative sites across the globe. These contractors may also have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420"/>
          </w:cols>
          <w:pgMar w:left="900" w:top="929" w:right="920" w:bottom="371" w:gutter="0" w:footer="0" w:header="0"/>
        </w:sectPr>
      </w:pPr>
    </w:p>
    <w:bookmarkStart w:id="76" w:name="page77"/>
    <w:bookmarkEnd w:id="76"/>
    <w:p>
      <w:pPr>
        <w:spacing w:after="0" w:line="244" w:lineRule="auto"/>
        <w:rPr>
          <w:sz w:val="20"/>
          <w:szCs w:val="20"/>
          <w:color w:val="auto"/>
        </w:rPr>
      </w:pPr>
      <w:r>
        <w:rPr>
          <w:rFonts w:ascii="Times New Roman" w:cs="Times New Roman" w:eastAsia="Times New Roman" w:hAnsi="Times New Roman"/>
          <w:sz w:val="20"/>
          <w:szCs w:val="20"/>
          <w:color w:val="auto"/>
        </w:rPr>
        <w:t>relationships with other commercial entities, including our competitors, 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verekitug or any other potential future product candidates. If that occurs, we will not be able to, or may be delayed in our efforts to, successfully commercialize verekitug or any other potential future product candidates. In such an event, our financial results and the commercial prospects for verekitug or any other potential future product candidates that we seek to develop could be harmed, our costs could increase and our ability to generate revenues could be delayed, impaired or foreclosed.</w:t>
      </w:r>
    </w:p>
    <w:p>
      <w:pPr>
        <w:spacing w:after="0" w:line="206"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We also rely on other third parties to store and distribute drug supplies for our clinical trials. Any performance failure on the part of our distributors could delay clinical development or regulatory approval of verekitug or any other potential future product candidates or commercialization of any resulting products, producing additional losses and depriving us of potential product revenue.</w:t>
      </w:r>
    </w:p>
    <w:p>
      <w:pPr>
        <w:spacing w:after="0" w:line="19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Any of the third-party organizations we utilize may terminate their engagements with us under certain circumstances. The replacement of an existing CRO or other third party may result in the delay of the affected trials or otherwise adversely affect our efforts to obtain regulatory approvals and commercialize verekitug or any other potential future product candidates. For example, although we believe there are a number of other CROs we could engage, we may not be able to enter into alternative arrangements or do so on commercially reasonable terms. In addition, while we believe there may be suitable replacements for one or more of these service providers, there is a natural transition period when a new service provider begins work. As a result, delays may occur, which could negatively impact our ability to meet our expected clinical development timelines and harm our business, financial condition, results of operations and growth prospects.</w:t>
      </w:r>
    </w:p>
    <w:p>
      <w:pPr>
        <w:spacing w:after="0" w:line="321"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information technology systems, or those used by our CROs or other contractors or consultants, may fail or suffer security breaches, which could adversely affect our business.</w:t>
      </w:r>
    </w:p>
    <w:p>
      <w:pPr>
        <w:spacing w:after="0" w:line="47"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20"/>
          <w:szCs w:val="20"/>
          <w:color w:val="auto"/>
        </w:rPr>
        <w:t>Our information technology systems and data and those of our current or future contract research organizations or other contractors and consultants are vulnerable to compromise or damage from computer hacking, computer viruses, and malware (e.g., ransomware malicious software), business email compromises, data breaches, denial-of-service attacks, wrongful conduct by vendors, attacks enhanced or facilitated by AI,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Attempts to disrupt or gain unauthorized access to our and our third-party service providers’ information systems from malicious third parties or insider threats may incorporate widely varying and frequently changing tactics, which may be enhanced or facilitated by AI.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 a period of time. Even if identified, we may be unable to adequately investigate or remediate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information technology (“IT”) personnel, periodic cyber security awareness trainings, improvements to IT infrastructure and controls, and conduct regular testing of our systems, there can be no assurance that our efforts will prevent service interruptions, security incidents, breaches in, or compromises of our systems or those of third-party CROs, vendors, contractors, consultants and/or third parties with whom we do business.</w:t>
      </w:r>
    </w:p>
    <w:p>
      <w:pPr>
        <w:spacing w:after="0" w:line="217"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Like other companies in our industry, we and certain of our service providers have experienced cyberattack attempts or incidents and security incidents relating to our information technology systems and infrastructure. Any cybersecurity incident or data breach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420"/>
          </w:cols>
          <w:pgMar w:left="900" w:top="929" w:right="920" w:bottom="371" w:gutter="0" w:footer="0" w:header="0"/>
        </w:sectPr>
      </w:pPr>
    </w:p>
    <w:bookmarkStart w:id="77" w:name="page78"/>
    <w:bookmarkEnd w:id="77"/>
    <w:p>
      <w:pPr>
        <w:spacing w:after="0" w:line="243" w:lineRule="auto"/>
        <w:rPr>
          <w:sz w:val="20"/>
          <w:szCs w:val="20"/>
          <w:color w:val="auto"/>
        </w:rPr>
      </w:pPr>
      <w:r>
        <w:rPr>
          <w:rFonts w:ascii="Times New Roman" w:cs="Times New Roman" w:eastAsia="Times New Roman" w:hAnsi="Times New Roman"/>
          <w:sz w:val="20"/>
          <w:szCs w:val="20"/>
          <w:color w:val="auto"/>
        </w:rPr>
        <w:t>cybersecurity incident to date, if such an event were to occur, it could seriously harm our development programs and our business operations. We could be subject to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distract management. Further, a cybersecurity incident may disrupt our business or damage our reputation, which could have a material adverse effect on our business, financial condition, results of operations, growth prospects, share price and shareholder value. We could also incur substantial remediation costs, including the costs of investigating the incident, repairing or replacing damaged systems, restoring normal business operations, implementing increased cybersecurity protections, and paying increased insurance premiums.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cyber liability insurance, this insurance may not provide adequate coverage against potential liabilities related to any experienced cybersecurity incident or data breach.</w:t>
      </w:r>
    </w:p>
    <w:p>
      <w:pPr>
        <w:spacing w:after="0" w:line="206"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20"/>
          <w:szCs w:val="20"/>
          <w:color w:val="auto"/>
        </w:rPr>
        <w:t>For example, the loss of clinical trial data from completed, ongoing or future clinical trials could result in delays in or denials of our regulatory approval efforts and significantly increase our costs to recover or reproduce the data. If a 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collaborators for research and development of verekitug and other third parties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security breach were to result in a loss of, or damage to, our data or systems, or inappropriate disclosure of confidential or proprietary or personal information, we could incur liability, our competitive position could be harmed, and the further development and commercialization of verekitug or any other potential future product candidates could be delayed, result in substantial costs and distract management.</w:t>
      </w:r>
    </w:p>
    <w:p>
      <w:pPr>
        <w:spacing w:after="0" w:line="326"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4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advancement, development programs and potential commercialization of verekitug or any other potential future product candidates will require substantial additional cash to fund expenses. For some of our programs, we may decide to collaborate with other pharmaceutical and biotechnology companies with respect to development and potential commercialization. Likely collaborators may include large and mid-size pharmaceutical companies, regional and national pharmaceutical companies and biotechnology companies. In addition, if we are able to obtain regulatory approval for verekitug or any other potential future product candidates from foreign regulatory authorities, we may enter into collaborations with international biotechnology or pharmaceutical companies for the commercialization of such product candidate.</w:t>
      </w:r>
    </w:p>
    <w:p>
      <w:pPr>
        <w:spacing w:after="0" w:line="200"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potential differentiation of verekitug or any other potential future product candidates from competing product candidates, design or results of clinical trials, the likelihood of approval by the FDA, the European Commission, or other comparable foreign regulatory authorities and the regulatory pathway for any such approval, the potential market for the product candidate, the costs and complexities of manufacturing and delivering the product to patients and the potential of competing products. The collaborator may also consider alternative product candidates or technologies for similar indications that may be available for collaboration and whether such a collaboration could be more attractive than the one with us for verekitug or any other potential future product candidates.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verekitug or any other potential future product candidates or bring them to market and generate product revenue.</w:t>
      </w:r>
    </w:p>
    <w:p>
      <w:pPr>
        <w:spacing w:after="0" w:line="20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Collaborations are complex and time-consuming to negotiate and document. Further, there have been a significant number of recent business combinations among large pharmaceutical companies that have resulted in a reduced number of potential future collaborators. Any collaboration agreements that we enter into in the future may contain restrictions on our ability to enter into potential collaborations or to otherwise develop specified product candidates. We may not be able to negotiate collaborations on a timely basis, on acceptable terms, or at all. If we are unable to do so, we may have to curtail the development of verekitug or any other potential future product candidates for which we are seeking to collaborate, reduce or delay its development program or one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440"/>
          </w:cols>
          <w:pgMar w:left="900" w:top="929" w:right="900" w:bottom="371" w:gutter="0" w:footer="0" w:header="0"/>
        </w:sectPr>
      </w:pPr>
    </w:p>
    <w:bookmarkStart w:id="78" w:name="page79"/>
    <w:bookmarkEnd w:id="78"/>
    <w:p>
      <w:pPr>
        <w:ind w:right="160"/>
        <w:spacing w:after="0" w:line="305" w:lineRule="auto"/>
        <w:rPr>
          <w:sz w:val="20"/>
          <w:szCs w:val="20"/>
          <w:color w:val="auto"/>
        </w:rPr>
      </w:pPr>
      <w:r>
        <w:rPr>
          <w:rFonts w:ascii="Times New Roman" w:cs="Times New Roman" w:eastAsia="Times New Roman" w:hAnsi="Times New Roman"/>
          <w:sz w:val="19"/>
          <w:szCs w:val="19"/>
          <w:color w:val="auto"/>
        </w:rPr>
        <w:t>or more of our other development programs, delay its potential commercialization or reduce the scope of any sales or marketing activities, or increase our expenditures and undertake development or commercialization activities at our own expense.</w:t>
      </w:r>
    </w:p>
    <w:p>
      <w:pPr>
        <w:spacing w:after="0" w:line="266"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9"/>
          <w:szCs w:val="19"/>
          <w:b w:val="1"/>
          <w:bCs w:val="1"/>
          <w:i w:val="1"/>
          <w:iCs w:val="1"/>
          <w:color w:val="auto"/>
        </w:rPr>
        <w:t>Our existing research and development arrangement as well as any future collaborations with third parties for the development and commercialization of verekitug or any other potential future product candidates may not be successful, which could adversely affect our ability to advance verekitug or any other potential future product candidates.</w:t>
      </w:r>
    </w:p>
    <w:p>
      <w:pPr>
        <w:spacing w:after="0" w:line="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have entered into a research and development arrangement and may in the future enter into collaborations for the development and commercialization of verekitug or any other potential future product candidates. Any collaborations may limit our control over the amount and timing of resources that our collaborators will dedicate to the development or commercialization of verekitug or any other potential future product candidates. Our ability to generate revenues from these arrangements will depend on any future collaborators’ abilities to successfully perform the functions assigned to them in these arrangements. For example, we granted Maruho Co., Ltd. (“Maruho”) an exclusive, irrevocable, perpetual, royalty-free, sublicensable license for the development and commercialization of verekitug in Japan (the “Maruho License Agreement”). Under the Maruho License Agreement, we are responsible for and control the global research and development of verekitug in Japan. In addition, any future collaborators may have the right to abandon research or development projects and terminate applicable agreements, including funding obligations, prior to or upon the expiration of the agreed upon terms.</w:t>
      </w:r>
    </w:p>
    <w:p>
      <w:pPr>
        <w:spacing w:after="0" w:line="201"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Collaborations involving verekitug or any other potential future product candidates pose a number of risks, including the following:</w:t>
      </w:r>
    </w:p>
    <w:p>
      <w:pPr>
        <w:spacing w:after="0" w:line="48" w:lineRule="exact"/>
        <w:rPr>
          <w:sz w:val="20"/>
          <w:szCs w:val="20"/>
          <w:color w:val="auto"/>
        </w:rPr>
      </w:pPr>
    </w:p>
    <w:p>
      <w:pPr>
        <w:ind w:left="500" w:right="1200" w:hanging="493"/>
        <w:spacing w:after="0" w:line="277"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have significant discretion in determining the efforts and resources that they will apply to these collaborations;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perform their obligations as expected;</w:t>
      </w:r>
    </w:p>
    <w:p>
      <w:pPr>
        <w:spacing w:after="0" w:line="119" w:lineRule="exact"/>
        <w:rPr>
          <w:rFonts w:ascii="Arial" w:cs="Arial" w:eastAsia="Arial" w:hAnsi="Arial"/>
          <w:sz w:val="20"/>
          <w:szCs w:val="20"/>
          <w:color w:val="auto"/>
        </w:rPr>
      </w:pPr>
    </w:p>
    <w:p>
      <w:pPr>
        <w:ind w:left="500" w:right="160" w:hanging="493"/>
        <w:spacing w:after="0" w:line="252"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pursue development and commercialization of verekitug or any other potential future product candidates or may elect not to continue or renew development or commercialization programs, based on clinical trial results, changes in the collaborators’ strategic focus or available funding or external factors, such as an acquisition, which divert resources or create competing priorities;</w:t>
      </w:r>
    </w:p>
    <w:p>
      <w:pPr>
        <w:spacing w:after="0" w:line="73" w:lineRule="exact"/>
        <w:rPr>
          <w:rFonts w:ascii="Arial" w:cs="Arial" w:eastAsia="Arial" w:hAnsi="Arial"/>
          <w:sz w:val="20"/>
          <w:szCs w:val="20"/>
          <w:color w:val="auto"/>
        </w:rPr>
      </w:pPr>
    </w:p>
    <w:p>
      <w:pPr>
        <w:ind w:left="500" w:right="260" w:hanging="493"/>
        <w:spacing w:after="0" w:line="259"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delay clinical trials, provide insufficient funding for a clinical trial program, stop a clinical trial or abandon verekitug or any other potential future product candidates, repeat or conduct new clinical trials or require a new formulation of a product candidate for clinical testing;</w:t>
      </w:r>
    </w:p>
    <w:p>
      <w:pPr>
        <w:spacing w:after="0" w:line="65" w:lineRule="exact"/>
        <w:rPr>
          <w:rFonts w:ascii="Arial" w:cs="Arial" w:eastAsia="Arial" w:hAnsi="Arial"/>
          <w:sz w:val="20"/>
          <w:szCs w:val="20"/>
          <w:color w:val="auto"/>
        </w:rPr>
      </w:pPr>
    </w:p>
    <w:p>
      <w:pPr>
        <w:ind w:left="500" w:right="160" w:hanging="493"/>
        <w:spacing w:after="0" w:line="277"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could independently develop, or develop with third parties, products that compete directly or indirectly with verekitug or any other potential future product candidates;</w:t>
      </w:r>
    </w:p>
    <w:p>
      <w:pPr>
        <w:spacing w:after="0" w:line="48" w:lineRule="exact"/>
        <w:rPr>
          <w:rFonts w:ascii="Arial" w:cs="Arial" w:eastAsia="Arial" w:hAnsi="Arial"/>
          <w:sz w:val="20"/>
          <w:szCs w:val="20"/>
          <w:color w:val="auto"/>
        </w:rPr>
      </w:pPr>
    </w:p>
    <w:p>
      <w:pPr>
        <w:ind w:left="500" w:right="280" w:hanging="493"/>
        <w:spacing w:after="0" w:line="277"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with marketing and distribution rights to one or more products may not commit sufficient resources to the marketing and distribution of such product or products;</w:t>
      </w:r>
    </w:p>
    <w:p>
      <w:pPr>
        <w:spacing w:after="0" w:line="48" w:lineRule="exact"/>
        <w:rPr>
          <w:rFonts w:ascii="Arial" w:cs="Arial" w:eastAsia="Arial" w:hAnsi="Arial"/>
          <w:sz w:val="20"/>
          <w:szCs w:val="20"/>
          <w:color w:val="auto"/>
        </w:rPr>
      </w:pPr>
    </w:p>
    <w:p>
      <w:pPr>
        <w:ind w:left="500" w:right="180" w:hanging="493"/>
        <w:spacing w:after="0" w:line="249"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disagreements with collaborators, including disagreements over proprietary rights, including trade secrets and intellectual property rights, contract interpretation, or the preferred course of development might cause delays or termination of the research, development or commercialization of verekitug or any other potential future product candidates, might lead to additional responsibilities for us with respect to such product candidate, or might result in litigation or arbitration, any of which would be time-consuming and expensive;</w:t>
      </w:r>
    </w:p>
    <w:p>
      <w:pPr>
        <w:spacing w:after="0" w:line="76" w:lineRule="exact"/>
        <w:rPr>
          <w:rFonts w:ascii="Arial" w:cs="Arial" w:eastAsia="Arial" w:hAnsi="Arial"/>
          <w:sz w:val="20"/>
          <w:szCs w:val="20"/>
          <w:color w:val="auto"/>
        </w:rPr>
      </w:pPr>
    </w:p>
    <w:p>
      <w:pPr>
        <w:ind w:left="500" w:hanging="493"/>
        <w:spacing w:after="0" w:line="259"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65" w:lineRule="exact"/>
        <w:rPr>
          <w:rFonts w:ascii="Arial" w:cs="Arial" w:eastAsia="Arial" w:hAnsi="Arial"/>
          <w:sz w:val="20"/>
          <w:szCs w:val="20"/>
          <w:color w:val="auto"/>
        </w:rPr>
      </w:pPr>
    </w:p>
    <w:p>
      <w:pPr>
        <w:ind w:left="500" w:right="200" w:hanging="493"/>
        <w:spacing w:after="0" w:line="277"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collaborators may infringe the intellectual property rights of third parties, which may expose us to litigation and potential liability; and</w:t>
      </w:r>
    </w:p>
    <w:p>
      <w:pPr>
        <w:spacing w:after="0" w:line="48" w:lineRule="exact"/>
        <w:rPr>
          <w:rFonts w:ascii="Arial" w:cs="Arial" w:eastAsia="Arial" w:hAnsi="Arial"/>
          <w:sz w:val="20"/>
          <w:szCs w:val="20"/>
          <w:color w:val="auto"/>
        </w:rPr>
      </w:pPr>
    </w:p>
    <w:p>
      <w:pPr>
        <w:ind w:left="500" w:right="960" w:hanging="493"/>
        <w:spacing w:after="0" w:line="277" w:lineRule="auto"/>
        <w:tabs>
          <w:tab w:leader="none" w:pos="50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collaborations may be terminated and, if terminated, may result in a need for additional capital to pursue further development or commercialization of the applicable product candidate.</w:t>
      </w:r>
    </w:p>
    <w:p>
      <w:pPr>
        <w:spacing w:after="0" w:line="169"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Collaboration agreements may not lead to development or commercialization of verekitug or any other potential future product candidates in the most efficient manner or at all. If any future collaborator of ours is involved in a business combination, it could decide to delay, diminish or terminate the development or commercialization of verekitug or any other potential future product candidates licensed to it by us.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400"/>
          </w:cols>
          <w:pgMar w:left="900" w:top="929" w:right="940" w:bottom="371" w:gutter="0" w:footer="0" w:header="0"/>
        </w:sectPr>
      </w:pPr>
    </w:p>
    <w:bookmarkStart w:id="79" w:name="page80"/>
    <w:bookmarkEnd w:id="79"/>
    <w:p>
      <w:pPr>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use of third parties to manufacture verekitug or any other potential future product candidates may increase the risk that we will not have sufficient quantities of verekitug or any other potential future product candidates, raw materials, active pharmaceutical ingredients (“APIs”) or drug products when needed or at an acceptable cost.</w:t>
      </w:r>
    </w:p>
    <w:p>
      <w:pPr>
        <w:spacing w:after="0" w:line="6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color w:val="auto"/>
        </w:rPr>
        <w:t>We do not own or operate manufacturing facilities for the production of clinical or commercial quantities of verekitug or any other potential future product candidates, and we lack the resources and the capabilities to do so. Our current strategy is to outsource all manufacturing of verekitug or any other potential future product candidates to third parties.</w:t>
      </w:r>
    </w:p>
    <w:p>
      <w:pPr>
        <w:spacing w:after="0" w:line="18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We currently rely on and engage third-party manufacturers to provide all of the APIs and the final drug product formulation of verekitug that is being used in our clinical trials and preclinical studies, including WuXi Biologics (Hong Kong) Limited (“WuXi”). Legislative and regulatory actions have been taken that have the potential to negatively impact U.S. companies and institutions that accept U.S. funding for projects that utilize biotechnology equipment and services produced or provided by certain biotechnology providers having relationships with foreign adversaries and which pose a threat to national security. For example, in December 2025 the National Defense Authorization Act for Fiscal Year 2026 (“NDAA”) was enacted, which includes Section 851 (commonly referred to as the “BIOSECURE Act”). The BIOSECURE Act restricts U.S. government agencies from procuring certain biotechnology equipment or services from, or entering into contracts with, entities that use biotechnology equipment or services from designated “biotechnology companies of concern” (“BCCS”) and from expending certain federal loan or grant funds for such equipment or services. While WuXi is not currently listed as a BCC, earlier legislative drafts of the BIOSECURE Act explicitly identified WuXi as a BCC; and also on December 18, 2025, the chairmen of multiple Senate and House committees, including the House Select Committee on China, sent a letter to the Department of Defense recommending that WuXi be added to the Department of Defense’s 1260H list, which would result in WuXi being designated as a BCC.</w:t>
      </w:r>
    </w:p>
    <w:p>
      <w:pPr>
        <w:spacing w:after="0" w:line="21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Although the BIOSECURE Act includes certain exceptions, waivers, and safe harbors, including a transition period for existing contracts following the issuance of implementing regulations, these provisions may be limited in scope, subject to agency interpretation, or unavailable in particular circumstances. In addition, the BIOSECURE Act has not yet been fully implemented through final regulations, and the manner in which U.S. government agencies will interpret and enforce these restrictions remains uncertain.</w:t>
      </w:r>
    </w:p>
    <w:p>
      <w:pPr>
        <w:spacing w:after="0" w:line="19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If WuXi, or any other current or future vendors with which we work are designated as BCCs, or if our collaborators, customers, investors, or future commercial partners become subject to BIOSECURE-related restrictions as a result of their relationships with such vendors, we could be required to terminate or restructure existing arrangements, transition manufacturing or other services to alternative suppliers, or delay or suspend development activities. Any such transition could involve significant cost, operational complexity, regulatory risk, and delays, and alternative suppliers may not be available on acceptable terms or at all. In addition, BIOSECURE-related restrictions could adversely affect our ability to obtain U.S. government funding, enter into collaborations with parties that receive federal funds, attract investment, or ultimately commercialize any product candidates, which could materially harm our business, financial condition, and prospects.</w:t>
      </w:r>
    </w:p>
    <w:p>
      <w:pPr>
        <w:spacing w:after="0" w:line="20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addition, we typically order raw materials, APIs and drug product and services on a purchase order basis and do not enter into long-term dedicated capacity or minimum supply arrangements with any commercial manufacturer. We may not be able to timely secure needed supply arrangements on satisfactory terms, or at all. Our failure to secure these arrangements as needed could have a material adverse effect on our ability to complete the development of verekitug or any other potential future product candidates or, to commercialize them, if approved. We may be unable to conclude agreements for commercial supply with third-party manufacturers or may be unable to do so on acceptable terms. There may be difficulties in scaling up to commercial quantities and formulation of verekitug or any other potential future product candidates, and the costs of manufacturing could be prohibitive.</w:t>
      </w: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If our manufacturers have difficulty or suffer delays in successfully manufacturing material that meets our specifications, it may limit supply of verekitug or any other potential future product candidates and could delay our clinical trials. For example, during routine evaluation of drug samples as part of stability testing of material produced by a previous manufacturing process, particles were observed. This resulted in a brief pause in dosing in our Phase 1b MAD clinical trial of verekitug for the treatment of asthma while a standard investigation was conducted, after which dosing resumed. There can be no assurance that similar or longer delays will not be necessary in the future.</w:t>
      </w:r>
    </w:p>
    <w:p>
      <w:pPr>
        <w:spacing w:after="0" w:line="200"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Even if we are able to establish and maintain arrangements with third-party manufacturers, reliance on third-party manufacturers entails additional risks, including:</w:t>
      </w:r>
    </w:p>
    <w:p>
      <w:pPr>
        <w:spacing w:after="0" w:line="48" w:lineRule="exact"/>
        <w:rPr>
          <w:sz w:val="20"/>
          <w:szCs w:val="20"/>
          <w:color w:val="auto"/>
        </w:rPr>
      </w:pPr>
    </w:p>
    <w:p>
      <w:pPr>
        <w:ind w:left="500" w:right="200" w:hanging="493"/>
        <w:spacing w:after="0" w:line="277" w:lineRule="auto"/>
        <w:tabs>
          <w:tab w:leader="none" w:pos="50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the failure of the third-party manufacturer to comply with applicable regulatory requirements and reliance on third parties for manufacturing process development, regulatory compliance and quality assurance;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420"/>
          </w:cols>
          <w:pgMar w:left="900" w:top="929" w:right="920" w:bottom="371" w:gutter="0" w:footer="0" w:header="0"/>
        </w:sectPr>
      </w:pPr>
    </w:p>
    <w:bookmarkStart w:id="80" w:name="page81"/>
    <w:bookmarkEnd w:id="80"/>
    <w:p>
      <w:pPr>
        <w:ind w:left="500" w:right="40" w:hanging="493"/>
        <w:spacing w:after="0" w:line="258" w:lineRule="auto"/>
        <w:tabs>
          <w:tab w:leader="none" w:pos="5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manufacturing delays if our third-party manufacturers give greater priority to the supply of other products over verekitug or any other potential future product candidates or otherwise do not satisfactorily perform according to the terms of the agreement between us;</w:t>
      </w:r>
    </w:p>
    <w:p>
      <w:pPr>
        <w:spacing w:after="0" w:line="67" w:lineRule="exact"/>
        <w:rPr>
          <w:rFonts w:ascii="Arial" w:cs="Arial" w:eastAsia="Arial" w:hAnsi="Arial"/>
          <w:sz w:val="20"/>
          <w:szCs w:val="20"/>
          <w:color w:val="auto"/>
        </w:rPr>
      </w:pPr>
    </w:p>
    <w:p>
      <w:pPr>
        <w:ind w:left="500" w:hanging="493"/>
        <w:spacing w:after="0"/>
        <w:tabs>
          <w:tab w:leader="none" w:pos="5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on supply availability resulting from capacity and scheduling constraints of third parties;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breach of manufacturing agreements by third parties because of factors beyond our control;</w:t>
      </w:r>
    </w:p>
    <w:p>
      <w:pPr>
        <w:spacing w:after="0" w:line="119" w:lineRule="exact"/>
        <w:rPr>
          <w:rFonts w:ascii="Arial" w:cs="Arial" w:eastAsia="Arial" w:hAnsi="Arial"/>
          <w:sz w:val="20"/>
          <w:szCs w:val="20"/>
          <w:color w:val="auto"/>
        </w:rPr>
      </w:pPr>
    </w:p>
    <w:p>
      <w:pPr>
        <w:ind w:left="500" w:right="540" w:hanging="493"/>
        <w:spacing w:after="0" w:line="277" w:lineRule="auto"/>
        <w:tabs>
          <w:tab w:leader="none" w:pos="5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termination or non-renewal of the manufacturing agreements by the third party, at a time that is costly or inconvenient to us; and</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misappropriation of our proprietary information, including our trade secrets and know-how.</w:t>
      </w:r>
    </w:p>
    <w:p>
      <w:pPr>
        <w:spacing w:after="0" w:line="240" w:lineRule="exact"/>
        <w:rPr>
          <w:sz w:val="20"/>
          <w:szCs w:val="20"/>
          <w:color w:val="auto"/>
        </w:rPr>
      </w:pPr>
    </w:p>
    <w:p>
      <w:pPr>
        <w:jc w:val="both"/>
        <w:ind w:right="160"/>
        <w:spacing w:after="0" w:line="249" w:lineRule="auto"/>
        <w:rPr>
          <w:sz w:val="20"/>
          <w:szCs w:val="20"/>
          <w:color w:val="auto"/>
        </w:rPr>
      </w:pPr>
      <w:r>
        <w:rPr>
          <w:rFonts w:ascii="Times New Roman" w:cs="Times New Roman" w:eastAsia="Times New Roman" w:hAnsi="Times New Roman"/>
          <w:sz w:val="20"/>
          <w:szCs w:val="20"/>
          <w:color w:val="auto"/>
        </w:rPr>
        <w:t>If we are unable to maintain our key manufacturing relationships, we may fail to find replacement manufacturers or develop our own manufacturing capabilities, which could delay or impair our ability to obtain regulatory approval for verekitug or any other potential future product candidates. If we do find replacement manufacturers, we may not be able to enter into agreements with them on terms and conditions favorable to us and there could be a substantial delay before new facilities could be qualified and registered with the FDA and comparable foreign regulatory authorities.</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Additionally, if any third-party manufacturer with whom we contract fails to perform its obligations, we may be forced to manufacture the materials ourselves, for which we may not have the capabilities or resources, or enter into an agreement with a different manufacturer. In either scenario, our clinical trials supply could be delayed significantly as we establish alternative supply sources. In some cases, the technical skills required to manufacture verekitug or any other potential future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third-party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verekitug or any other potential future product candidates according to the specifications previously submitted to the FDA, the EMA and the European Commission, or another comparable foreign regulatory authority. We may be unsuccessful in demonstrating the comparability of clinical supplies, which could require the conduct of additional clinical trials. The delays associated with the verification of a new third-party manufacturer could negatively affect our ability to develop or commercialize verekitug or any other potential future product candidates in a timely manner or within budget. Furthermore, a third-party manufacturer may possess technology related to the manufacture of verekitug or any other potential future product candidates that such third party owns independently. This would increase our reliance on such third-party manufacturer or require us to obtain a license from such third-party manufacturer in order to have another third party manufacture verekitug or any other potential future product candidates.</w:t>
      </w:r>
    </w:p>
    <w:p>
      <w:pPr>
        <w:spacing w:after="0" w:line="20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If verekitug is approved by any regulatory authority, we intend to utilize arrangements with third-party contract manufacturers for the commercial production of that product. This process is difficult and time consuming and we may face competition for access to manufacturing facilities as there are a limited number of contract manufacturers operating under cGMPs that are capable of manufacturing verekitug. Consequently, we may not be able to reach agreement with third-party manufacturers on satisfactory terms, which could delay our commercialization.</w:t>
      </w:r>
    </w:p>
    <w:p>
      <w:pPr>
        <w:spacing w:after="0" w:line="19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Some of our manufacturers are located outside of the United States. There is currently significant uncertainty about the future relationship between the United States and various other countries, including China, with respect to trade policies, treaties, government regulations and tariffs. It is possible further tariffs may be imposed that could affect imports of APIs used in verekitug or any other potential future product candidates, or our business may be adversely impacted by retaliatory trade measures taken by China or other countries, including restricted access to such raw materials used in verekitug or any other potential future product candidates. Given the unpredictable regulatory environment in China and the United States and uncertainty regarding how the U.S. or foreign governments will act with respect to tariffs, international trade agreements and policies, further governmental action related to tariffs, additional taxes, contracting matters, regulatory changes or other retaliatory trade measures in the future could occur with a corresponding detrimental impact on our business, financial condition, results of operations and growth prospects.</w:t>
      </w:r>
    </w:p>
    <w:p>
      <w:pPr>
        <w:spacing w:after="0" w:line="20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Our failure, or the failure of our third-party manufacturers, to comply with applicable regulations could result in sanctions being imposed on us, including shutdown of the third-party vendor or rejection of drug product lots or processes, clinical holds, fines, injunctions, civil penalties, delays, suspension, variation or withdrawal of approvals, license revocation, seizures or voluntary recalls of product candidates or drugs if approved, operating restrictions and criminal prosecutions, any of which could significantly affect supplies of verekitug or any other potential future product candidates. The facilities used by our contract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420"/>
          </w:cols>
          <w:pgMar w:left="900" w:top="931" w:right="920" w:bottom="371" w:gutter="0" w:footer="0" w:header="0"/>
        </w:sectPr>
      </w:pPr>
    </w:p>
    <w:bookmarkStart w:id="81" w:name="page82"/>
    <w:bookmarkEnd w:id="81"/>
    <w:p>
      <w:pPr>
        <w:spacing w:after="0" w:line="242" w:lineRule="auto"/>
        <w:rPr>
          <w:sz w:val="20"/>
          <w:szCs w:val="20"/>
          <w:color w:val="auto"/>
        </w:rPr>
      </w:pPr>
      <w:r>
        <w:rPr>
          <w:rFonts w:ascii="Times New Roman" w:cs="Times New Roman" w:eastAsia="Times New Roman" w:hAnsi="Times New Roman"/>
          <w:sz w:val="20"/>
          <w:szCs w:val="20"/>
          <w:color w:val="auto"/>
        </w:rPr>
        <w:t>manufacturers to manufacture verekitug or any other potential future product candidates must be evaluated by the FDA and comparable foreign regulatory authorities. We have limited control over the manufacturing process of, and are dependent on, our contract manufacturing partners for compliance with cGMPs. If our contract manufacturers cannot successfully manufacture material that conforms to our specifications and the strict regulatory requirements of the FDA, the European Union, or other comparable foreign regulatory authorities, we may not be able to secure and/or maintain regulatory approval for verekitug or any other potential future product candidates manufactured at these facilities. In addition, we limited control over the ability of our contract manufacturers to maintain adequate quality control, quality assurance and qualified personnel. If the FDA or a comparable foreign regulatory authority finds deficiencies or does not approve these facilities for the manufacture of verekitug or any other potential future product candidates or if it withdraws any such approval in the future, we may need to find alternative manufacturing facilities, which would significantly impact our ability to develop, obtain regulatory approval for or market verekitug or any other potential future product candidates, if approved. Contract manufacturers may face manufacturing or quality control problems causing drug substance production and shipment delays or a situation where the contractor may not be able to maintain compliance with the applicable cGMP requirements. Any failure to comply with cGMP requirements or other FDA, European Union, and comparable foreign regulatory requirements could adversely affect our clinical research activities and our ability to develop, and if approved, market verekitug or any other potential future product candidates.</w:t>
      </w:r>
    </w:p>
    <w:p>
      <w:pPr>
        <w:spacing w:after="0" w:line="21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color w:val="auto"/>
        </w:rPr>
        <w:t>The FDA and comparable foreign regulatory authorities require manufacturers to register manufacturing facilities. The FDA and corresponding foreign regulators also inspect these facilities to confirm and monitor compliance with cGMPs.</w:t>
      </w:r>
    </w:p>
    <w:p>
      <w:pPr>
        <w:spacing w:after="0" w:line="287"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any third-party manufacturer of verekitug or any other potential future product candidates is unable to increase the scale of its production or the product yield of its manufacturing, then our manufacturing costs may increase and commercialization may be delayed.</w:t>
      </w:r>
    </w:p>
    <w:p>
      <w:pPr>
        <w:spacing w:after="0" w:line="6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order to produce sufficient quantities to meet the demand for clinical trials and, if approved, subsequent commercialization of verekitug or any other potential future product candidates, our third-party manufacturers will be required to increase their production and optimize their manufacturing processes while maintaining the quality of verekitug or any other potential future product candidates. The transition to larger scale production could prove difficult. In addition, if our third-party manufacturers are not able to optimize their manufacturing processes to increase the product yield for verekitug or any other potential future product candidates, or if they are unable to produce increased amounts of verekitug or any other potential future product candidates while maintaining the same quality then we may not be able to meet the demands of clinical trials or market demands, which could decrease our ability to generate profits and have a material adverse impact on our business and results of operations.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methods of product candidate manufacturing or formulation may result in additional costs or delay.</w:t>
      </w:r>
    </w:p>
    <w:p>
      <w:pPr>
        <w:spacing w:after="0" w:line="119"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0"/>
          <w:szCs w:val="20"/>
          <w:color w:val="auto"/>
        </w:rPr>
        <w:t>As verekitug or any other potential future product candidates proceed through preclinical studies to late-stage clinical trials towards potential approval and commercialization, it is common that various aspects of the development program, such as the vendors used to manufacture drug product or manufacturing methods and formulation, are altered along the way in an effort to optimize processes and results. Such changes carry the risk that they will not achieve these intended objectives. Any of these changes could cause verekitug or any other potential future product candidates to perform differently and affect the results of planned clinical trials or other future clinical trials conducted with the materials manufactured using altered processes. Such changes may also require additional testing, notification or approval by the FDA, or comparable foreign regulatory authorities. This could delay or prevent completion of clinical trials, require conducting bridging clinical trials or the repetition of one or more clinical trials, increase clinical trial costs, delay or prevent approval of verekitug or any other potential future product candidates and jeopardize our ability to commence sales and generate revenue.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64" w:lineRule="exact"/>
        <w:rPr>
          <w:sz w:val="20"/>
          <w:szCs w:val="20"/>
          <w:color w:val="auto"/>
        </w:rPr>
      </w:pPr>
    </w:p>
    <w:p>
      <w:pPr>
        <w:ind w:right="8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regulatory approval of verekitug or any other potential future product candidates in one jurisdiction does not mean that we will be successful in obtaining regulatory approval in other jurisdictions.</w:t>
      </w:r>
    </w:p>
    <w:p>
      <w:pPr>
        <w:spacing w:after="0" w:line="4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Obtaining and maintaining regulatory approval of verekitug or any other potential future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the European Commission, or other comparable foreign regulatory authorities must also approve the manufacturing and marketing of the product candidate in those territories.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420"/>
          </w:cols>
          <w:pgMar w:left="900" w:top="929" w:right="920" w:bottom="371" w:gutter="0" w:footer="0" w:header="0"/>
        </w:sectPr>
      </w:pPr>
    </w:p>
    <w:bookmarkStart w:id="82" w:name="page83"/>
    <w:bookmarkEnd w:id="82"/>
    <w:p>
      <w:pPr>
        <w:ind w:right="280"/>
        <w:spacing w:after="0" w:line="278" w:lineRule="auto"/>
        <w:rPr>
          <w:sz w:val="20"/>
          <w:szCs w:val="20"/>
          <w:color w:val="auto"/>
        </w:rPr>
      </w:pPr>
      <w:r>
        <w:rPr>
          <w:rFonts w:ascii="Times New Roman" w:cs="Times New Roman" w:eastAsia="Times New Roman" w:hAnsi="Times New Roman"/>
          <w:sz w:val="20"/>
          <w:szCs w:val="20"/>
          <w:color w:val="auto"/>
        </w:rPr>
        <w:t>States, a product candidate must be approved for reimbursement before it can be approved for sale in that jurisdiction. In some cases, the price that we intend to charge for our products is also subject to approval.</w:t>
      </w:r>
    </w:p>
    <w:p>
      <w:pPr>
        <w:spacing w:after="0" w:line="168"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verekitug or any other potential future product candidates will be harmed.</w:t>
      </w:r>
    </w:p>
    <w:p>
      <w:pPr>
        <w:spacing w:after="0" w:line="319"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regulatory approval of verekitug or any other potential future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verekitug or any other potential future product candidates.</w:t>
      </w:r>
    </w:p>
    <w:p>
      <w:pPr>
        <w:spacing w:after="0" w:line="7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If verekitug or any other potential future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9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Manufacturers and manufacturers’ facilities are required to comply with extensive FDA, European Union, and comparable foreign regulatory requirements, including ensuring that quality control and manufacturing procedures conform to cGMP regulations and applicable product tracking and tracing requirements. As such, we and our contract manufacturers will be subject to continual review and inspections to assess continuous compliance with cGMP and adherence to commitments made in any BLA, other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Any regulatory approvals that we receive for verekitug or any other potential future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Certain endpoint data we hope to include in any approved product labeling also may not make it into such labeling, including exploratory or secondary endpoint data such as patient-reported outcome measures. The FDA may also require Risk Evaluation and Mitigation Strategies (“REMS”) as a condition of approval of verekitug or any other potential future product candidates, which could entail requirements for long-term patient follow-up, a medication guide, physician communication plans or additional elements to ensure safe use, such as restricted distribution methods, patient registries and other risk minimization tools. Comparable requirements may apply in foreign countries. In addition, if the FDA, the European Commission, or a comparable foreign regulatory authority approves verekitug or any other potential future product candidates, we will have to comply with requirements including submissions of safety and other post-marketing information and reports and registration.</w:t>
      </w:r>
    </w:p>
    <w:p>
      <w:pPr>
        <w:spacing w:after="0" w:line="20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FDA or comparable foreign regulatory authorities may impose consent decrees or withdraw or vary approval if compliance with regulatory requirements and standards is not maintained or if problems occur after the product reaches the market. Later discovery of previously unknown problems with verekitug or any other potential future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or a comparable foreign program. Other potential consequences include, among other things:</w:t>
      </w:r>
    </w:p>
    <w:p>
      <w:pPr>
        <w:spacing w:after="0" w:line="80" w:lineRule="exact"/>
        <w:rPr>
          <w:sz w:val="20"/>
          <w:szCs w:val="20"/>
          <w:color w:val="auto"/>
        </w:rPr>
      </w:pPr>
    </w:p>
    <w:p>
      <w:pPr>
        <w:ind w:left="500" w:right="380" w:hanging="493"/>
        <w:spacing w:after="0" w:line="277" w:lineRule="auto"/>
        <w:tabs>
          <w:tab w:leader="none" w:pos="5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restrictions on the marketing or manufacturing of our products, withdrawal of the product from the market or voluntary product recalls;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120" w:lineRule="exact"/>
        <w:rPr>
          <w:rFonts w:ascii="Arial" w:cs="Arial" w:eastAsia="Arial" w:hAnsi="Arial"/>
          <w:sz w:val="20"/>
          <w:szCs w:val="20"/>
          <w:color w:val="auto"/>
        </w:rPr>
      </w:pPr>
    </w:p>
    <w:p>
      <w:pPr>
        <w:ind w:left="500" w:right="700" w:hanging="493"/>
        <w:spacing w:after="0" w:line="277" w:lineRule="auto"/>
        <w:tabs>
          <w:tab w:leader="none" w:pos="50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refusal by the FDA or comparable foreign regulatory authorities to approve pending applications or supplements to approved applications filed by us or suspension, variation or withdrawal of approvals;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420"/>
          </w:cols>
          <w:pgMar w:left="900" w:top="929" w:right="920" w:bottom="371" w:gutter="0" w:footer="0" w:header="0"/>
        </w:sectPr>
      </w:pPr>
    </w:p>
    <w:bookmarkStart w:id="83" w:name="page84"/>
    <w:bookmarkEnd w:id="83"/>
    <w:p>
      <w:pPr>
        <w:ind w:left="500" w:right="460" w:hanging="493"/>
        <w:spacing w:after="0" w:line="277" w:lineRule="auto"/>
        <w:tabs>
          <w:tab w:leader="none" w:pos="5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product seizure or detention or refusal to permit the import or export of verekitug or any other potential future product candidates;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total or partial suspension of production, distribution, manufacturing or clinical trials;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restrictions;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suspension of licenses; and</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injunctions, fines or the imposition of civil or criminal penalties.</w:t>
      </w:r>
    </w:p>
    <w:p>
      <w:pPr>
        <w:spacing w:after="0" w:line="240" w:lineRule="exact"/>
        <w:rPr>
          <w:sz w:val="20"/>
          <w:szCs w:val="20"/>
          <w:color w:val="auto"/>
        </w:rPr>
      </w:pPr>
    </w:p>
    <w:p>
      <w:pPr>
        <w:jc w:val="both"/>
        <w:ind w:right="660"/>
        <w:spacing w:after="0" w:line="258" w:lineRule="auto"/>
        <w:rPr>
          <w:sz w:val="20"/>
          <w:szCs w:val="20"/>
          <w:color w:val="auto"/>
        </w:rPr>
      </w:pPr>
      <w:r>
        <w:rPr>
          <w:rFonts w:ascii="Times New Roman" w:cs="Times New Roman" w:eastAsia="Times New Roman" w:hAnsi="Times New Roman"/>
          <w:sz w:val="20"/>
          <w:szCs w:val="20"/>
          <w:color w:val="auto"/>
        </w:rPr>
        <w:t>Additionally, the FDA and comparable foreign regulatory authorities strictly regulate marketing, labeling, advertising and promotion of products that are placed on the market. Products may be promoted only for the approved indications and in accordance with the provisions of the approved label.</w:t>
      </w:r>
    </w:p>
    <w:p>
      <w:pPr>
        <w:spacing w:after="0" w:line="18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policies of the FDA, the EMA, and the European Commission, and comparable foreign regulatory authorities may change and additional government regulations may be enacted that could prevent, limit or delay regulatory approval of verekitug or any other potential future product candidates. In addition, the U.S. Supreme Court’s July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We cannot predict the likelihood, nature or extent of government regulation that may arise from future legislation or administrative action, either in the United States or abroad. For more information, see the section titled “Business— Government regulation”.</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308"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Verekitug or any other potential future product candidates for which we intend to seek approval as biological products may face competition sooner than anticipated.</w:t>
      </w:r>
    </w:p>
    <w:p>
      <w:pPr>
        <w:spacing w:after="0" w:line="47"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Biologics Price Competition and Innovation Act of 2010 (the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20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We believe any of our potential future product candidates approved as a biological product under a BLA should qualify for the 12-year period of exclusivity. However, there is a risk that this exclusivity could be shortened due to Congressional action or otherwise, or that the FDA will not consider verekitug or any other potential future product candidates to be reference products for competing products, potentially creating the opportunity for biosimilar competition sooner than anticipated.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In the European Union, there is a special regime for biosimilars, or biological medicinal products that are similar to a reference medicinal product but that do not meet the definition of a generic medicinal product. For such products, the results of appropriate preclinical or clinical trials must be provided in support of an application. Guidelines from the EMA detail the type of quantity of supplementary data to be provided for different types of biological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420"/>
          </w:cols>
          <w:pgMar w:left="900" w:top="931" w:right="920" w:bottom="371" w:gutter="0" w:footer="0" w:header="0"/>
        </w:sectPr>
      </w:pPr>
    </w:p>
    <w:bookmarkStart w:id="84" w:name="page85"/>
    <w:bookmarkEnd w:id="84"/>
    <w:p>
      <w:pPr>
        <w:ind w:right="6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While we may in the future seek designations for verekitug or any other potential future product candidates with the FDA and comparable foreign regulatory authorities that are intended to confer benefits such as a faster development process, an accelerated regulatory pathway or regulatory exclusivity, there can be no assurance that we will successfully obtain such designations. In addition, even if verekitug or any other potential future product candidates are granted such designations, we may not be able to maintain such designations or realize the intended benefits of such designations.</w:t>
      </w:r>
    </w:p>
    <w:p>
      <w:pPr>
        <w:spacing w:after="0" w:line="78" w:lineRule="exact"/>
        <w:rPr>
          <w:sz w:val="20"/>
          <w:szCs w:val="20"/>
          <w:color w:val="auto"/>
        </w:rPr>
      </w:pPr>
    </w:p>
    <w:p>
      <w:pPr>
        <w:ind w:right="300"/>
        <w:spacing w:after="0" w:line="245" w:lineRule="auto"/>
        <w:rPr>
          <w:sz w:val="20"/>
          <w:szCs w:val="20"/>
          <w:color w:val="auto"/>
        </w:rPr>
      </w:pPr>
      <w:r>
        <w:rPr>
          <w:rFonts w:ascii="Times New Roman" w:cs="Times New Roman" w:eastAsia="Times New Roman" w:hAnsi="Times New Roman"/>
          <w:sz w:val="20"/>
          <w:szCs w:val="20"/>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verekitug or any other potential future product candidates. In addition, while such designations could expedite the development or approval process, they generally do not change the standards for approval. Even if we obtain such designations for verekitug or any other potential future product candidates, there can be no assurance that we will realize their intended benefits.</w:t>
      </w:r>
    </w:p>
    <w:p>
      <w:pPr>
        <w:spacing w:after="0" w:line="201"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For example, we may seek a Fast Track Designation for verekitug or any other potential future product candidates we develop.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201"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0"/>
          <w:szCs w:val="20"/>
          <w:color w:val="auto"/>
        </w:rPr>
        <w:t>We also may seek Breakthrough Therapy Designation for verekitug or any other potential future product candidates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2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Designation as a breakthrough therapy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any product candidate we develop qualifies as a breakthrough therapy, the FDA may later decide that the drug no longer meets the conditions for qualification and rescind the designation.</w:t>
      </w:r>
    </w:p>
    <w:p>
      <w:pPr>
        <w:spacing w:after="0" w:line="20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Priority review designation may be rescinded if a product no longer meets the qualifying criteria.</w:t>
      </w:r>
    </w:p>
    <w:p>
      <w:pPr>
        <w:spacing w:after="0" w:line="326"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unsuccessful in obtaining or may be unable to maintain the benefits associated with orphan drug designation, including the potential for market exclusivity.</w:t>
      </w:r>
    </w:p>
    <w:p>
      <w:pPr>
        <w:spacing w:after="0" w:line="4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U.S. In the United States, orphan drug designation entitles a party to financial incentives such as opportunities for grant funding towards clinical trial costs, tax advantages and user fee waivers.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440"/>
          </w:cols>
          <w:pgMar w:left="900" w:top="929" w:right="900" w:bottom="371" w:gutter="0" w:footer="0" w:header="0"/>
        </w:sectPr>
      </w:pPr>
    </w:p>
    <w:bookmarkStart w:id="85" w:name="page86"/>
    <w:bookmarkEnd w:id="85"/>
    <w:p>
      <w:pPr>
        <w:ind w:right="80"/>
        <w:spacing w:after="0" w:line="244" w:lineRule="auto"/>
        <w:rPr>
          <w:sz w:val="20"/>
          <w:szCs w:val="20"/>
          <w:color w:val="auto"/>
        </w:rPr>
      </w:pPr>
      <w:r>
        <w:rPr>
          <w:rFonts w:ascii="Times New Roman" w:cs="Times New Roman" w:eastAsia="Times New Roman" w:hAnsi="Times New Roman"/>
          <w:sz w:val="20"/>
          <w:szCs w:val="20"/>
          <w:color w:val="auto"/>
        </w:rPr>
        <w:t>Similarly, in the EU, a medicinal product can be designated as an orphan medicinal product by the European Commission if its sponsor can establish that: (i) the product is intended for the diagnosis, prevention or treatment of life-threatening or chronically debilitating conditions; (ii) either (a) such conditions affect not more than 5 in 10,000 persons in the EU when the application is made, or (b) the product without the benefits derived from orphan status, would not generate sufficient return in the EU to justify the necessary investment in developing the medicinal product; and (iii) there exists no satisfactory authorized method of diagnosis, prevention, or treatment of the condition that has been authorized in the EU, or even if such method exists, the product will be of significant benefit to those affected by that condition. In the EU, orphan medicinal product designation entitles a party to incentives such as reduction of fees or fee waivers protocol assistance, and access to the centralized marketing authorization procedure.</w:t>
      </w:r>
    </w:p>
    <w:p>
      <w:pPr>
        <w:spacing w:after="0" w:line="206"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Generally, if a product with an orphan drug designation subsequently receives the first marketing approval for the indication for which it has such designation, the drug is entitled to a period of marketing exclusivity, which precludes the FDA from approving another marketing application for the same product and indication for that time period, except in limited circumstances. In the EU, marketing exclusivity prevents the EMA and competent authorities in the EU from accepting another application for marketing authorization for a similar medicinal product in the same therapeutic indication as the authorized orphan product. The applicable period is seven years in the U.S. and ten years in the EU. The EU exclusivity period may also be extended by two years for orphan medicinal products that have also complied with an agreed Pediatric Investigation Plan. However, the EU exclusivity period can be reduced to six years, if at the end of the fifth, it is established that a product no longer meets the criteria on the basis of which it received orphan medicinal product designation, including where it can be demonstrated on the basis of available evidence that the product is sufficiently profitable so that market exclusivity is no longer justified or where the prevalence of the condition has increased above the threshold.</w:t>
      </w:r>
    </w:p>
    <w:p>
      <w:pPr>
        <w:spacing w:after="0" w:line="20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Even if we obtain orphan drug exclusivity for a drug, that exclusivity may not effectively protect the designated drug from competition because different drugs can be approved for the same condition. Even after an orphan drug is approved, the FDA or the European Commission can subsequently approve the same drug for the same condition if the FDA or the European Commission concludes that the later drug is clinically superior in that it is shown to be safer, more effective or makes a major contribution to patient care.</w:t>
      </w:r>
    </w:p>
    <w:p>
      <w:pPr>
        <w:spacing w:after="0" w:line="3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Where appropriate, we may secure approval from the FDA, the European Commission or other comparable foreign regulatory authorities through the use of expedited approval pathways, such as accelerated approval or comparable foreign abbreviated pathways. If we are unable to obtain such approvals, we may be required to conduct additional preclinical studies or clinical trials beyond those that we contemplate, which could increase the expense of obtaining, and delay the receipt of, necessary marketing approvals. Even if we receive accelerated approval from the FDA or approval following comparable foreign abbreviated pathways by foreign regulatory authorities, if our confirmatory trials do not verify clinical benefit, or if we do not comply with rigorous post-marketing requirements, the FDA or such comparable foreign regulatory authorities may seek to withdraw the accelerated approval.</w:t>
      </w:r>
    </w:p>
    <w:p>
      <w:pPr>
        <w:spacing w:after="0" w:line="8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Where possible, we plan to pursue accelerated development strategies in areas of high unmet need. We may seek an accelerated approval pathway for our one or more of our potential future product candidates from the FDA, EMA or other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 FDORA also gives the FDA increased authority to withdraw approval of a drug or biologic granted accelerated approval on an expedited basis if the sponsor fails to conduct such studies in a timely manner, send status updates on such studies to the FDA every 180 days to be publicly posted by the agency, or if such post-approval studies fail to</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440"/>
          </w:cols>
          <w:pgMar w:left="900" w:top="929" w:right="900" w:bottom="371" w:gutter="0" w:footer="0" w:header="0"/>
        </w:sectPr>
      </w:pPr>
    </w:p>
    <w:bookmarkStart w:id="86" w:name="page87"/>
    <w:bookmarkEnd w:id="86"/>
    <w:p>
      <w:pPr>
        <w:ind w:right="140"/>
        <w:spacing w:after="0" w:line="278" w:lineRule="auto"/>
        <w:rPr>
          <w:sz w:val="20"/>
          <w:szCs w:val="20"/>
          <w:color w:val="auto"/>
        </w:rPr>
      </w:pPr>
      <w:r>
        <w:rPr>
          <w:rFonts w:ascii="Times New Roman" w:cs="Times New Roman" w:eastAsia="Times New Roman" w:hAnsi="Times New Roman"/>
          <w:sz w:val="20"/>
          <w:szCs w:val="20"/>
          <w:color w:val="auto"/>
        </w:rPr>
        <w:t>verify the drug’s predicted clinical benefit. The FDA is empowered to take action, such as issuing fines, against companies that fail to conduct with due diligence any post-approval confirmatory study or submit timely reports to the agency on their progress.</w:t>
      </w:r>
    </w:p>
    <w:p>
      <w:pPr>
        <w:spacing w:after="0" w:line="16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Prior to seeking accelerated approval, or approval following comparable foreign abbreviated pathways, we would seek feedback from the FDA or other comparable foreign regulatory authorities and would otherwise evaluate our ability to seek and receive such accelerated approval or approval following comparable foreign abbreviated pathways. There can be no assurance that after our evaluation of the feedback and other factors we will decide to pursue or submit a BLA for accelerated approval or any other form of expedited development, review or approval. Similarly, there can be no assurance that after subsequent feedback from the FDA, or other comparable foreign regulatory authorities, we will continue to pursue or apply for accelerated approval or any other form of expedited development, review or approval, even if we initially decide to do so. Furthermore, if we decide to submit an application for accelerated approval, or comparable foreign abbreviated pathways, there can be no assurance that such application will be accepted or that any approval will be granted on a timely basis, or at all. The FDA, the EMA, or the European Commission, or other comparable foreign regulatory authorities could also require us to conduct further studies prior to considering our application or granting approval of any type, including, for example, if other products are approved via the accelerated pathway, or comparable foreign abbreviated pathway, and subsequently converted by FDA or comparable foreign regulatory authorities to full approval.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330"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Changes in funding for, or disruptions to the staffing and operations of, the FDA, the SEC, and other U.S.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4"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ability of the FDA and other comparable regulatory authorities to review and approve new products can be affected by a variety of factors, including government budget and funding levels, availability of personnel and other resources, the FDA’s or other comparable regulatory authorities’ ability to hire and retain key personnel and accept the payment of user fees, statutory, regulatory, and policy changes, and other events that may otherwise affect the FDA’s or other comparable regulatory authorities’ ability to perform routine functions. Average review times at the FDA and other comparable regulatory authorities have fluctuated in recent years and may continue to fluctuate as a result. In addition, government funding of the SEC and other U.S. government agencies on which our operations may rely, including those that fund research and development activities, is subject to the political process, including executive and congressional priorities, which is inherently fluid and unpredictable.</w:t>
      </w:r>
    </w:p>
    <w:p>
      <w:pPr>
        <w:spacing w:after="0" w:line="8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Disruptions at the FDA, the SEC, other U.S. government agencies or comparable foreign regulatory authorities, including as a result of substantial leadership departures, personnel cuts, and policy changes, may also slow the time necessary for new products to be reviewed and/or approved by necessary government agencies, which would adversely affect our business. Changes and cuts in FDA staffing have been reported by some within the pharmaceutical industry as creating instances of delays in the FDA’s responsiveness or in its ability to review IND submissions or applications, issue regulations or guidance, or implement or enforce regulatory requirements in a timely fashion or at all. For example, over the last several years, the U.S. government has shut down several times, including most recently a shutdown for a 43-day period from October 1, 2025 through November 12, 2025, and certain regulatory agencies, such as the FDA and the SEC, have had to furlough critical employees and stop critical activities. If a prolonged government shutdown occurs again, such as the one that occurred in October 2025, or if global health concerns, funding shortages or staffing limitations hinder or prevent the FDA, the SEC or other regulatory authorities from conducting their regulatory inspections, reviews or other regulatory activities, including formal or informal interactions with product developers, it could significantly impact the ability of the FDA or other such regulatory authorities to timely review and process our regulatory submissions, which could have a material adverse effect on our business. Further, in our operations as a public company, government shutdowns and/or substantial leadership, personnel, and policy changes at the SEC could impact our business by delaying review of our public filings, which in turn could delay or frustrate our ability to access the public markets and obtain necessary capital in order to properly capitalize and continue our operations or delay the review or effectiveness of required regulatory or securities filings.</w:t>
      </w:r>
    </w:p>
    <w:p>
      <w:pPr>
        <w:spacing w:after="0" w:line="87"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Since the change in the U.S. presidential administration in 2025, there continues to be substantial uncertainty as to how and to what extent the leadership of the FDA and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new administration could issue or promulgate executive orders, regulations, policies or guidance that adversely affect us or create a more challenging or costly environment to pursue the development of new therapeutic candidates.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440"/>
          </w:cols>
          <w:pgMar w:left="900" w:top="929" w:right="900" w:bottom="371" w:gutter="0" w:footer="0" w:header="0"/>
        </w:sectPr>
      </w:pPr>
    </w:p>
    <w:bookmarkStart w:id="87" w:name="page88"/>
    <w:bookmarkEnd w:id="87"/>
    <w:p>
      <w:pPr>
        <w:jc w:val="both"/>
        <w:ind w:right="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relationships with healthcare professionals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It is possible that governmental and enforcement authorities will conclude that our business practices may not comply with current or future statutes, regulations or case law interpreting applicable fraud and abuse or other healthcare laws and regulations. Healthcare professionals, physicians and third-party payors in the United States and elsewhere play a primary role in the recommendation and prescription of pharmaceutical products. Arrangements with third-party payors and customers can expose pharmaceutical manufacturers to broadly applicable fraud and abuse and other healthcare laws and regulations that may constrain the business or financial arrangements and relationships through which we conduct research and would sell, market and distribute our products. As a pharmaceutical company, even though we do not and will not control referrals of healthcare services or bill directly to Medicare, Medicaid or other third-party payors, supranational, national, federal and state healthcare laws and regulations that may affect our ability to operate may apply. For more information on healthcare laws and regulations that may impact our company, see the section titled “Business—Government regulation—Other healthcare laws”.</w:t>
      </w:r>
    </w:p>
    <w:p>
      <w:pPr>
        <w:spacing w:after="0" w:line="20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professionals, which has led to a number of investigations, prosecutions, convictions and settlements in the healthcare industry. Ensuring business arrangements comply with applicable healthcare and privacy laws, as well as responding to possible investigations by government authorities, can be time and resource-consuming and can divert a company’s attention from the business.</w:t>
      </w:r>
    </w:p>
    <w:p>
      <w:pPr>
        <w:spacing w:after="0" w:line="20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or other competent authority guidance or case law involving applicable fraud and abuse or other healthcare laws and regulations. If our operations are found to be in violation of any of these laws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professionals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33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Coverage and reimbursement may be limited or unavailable in certain market segments for verekitug or any other potential future product candidates, if approved, which could make it difficult for us to sell them profitably.</w:t>
      </w:r>
    </w:p>
    <w:p>
      <w:pPr>
        <w:spacing w:after="0" w:line="4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success of verekitug or any other potential future product candidates, if approved, depends on the availability of coverage and adequate reimbursement from third-party payors.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w:t>
      </w:r>
    </w:p>
    <w:p>
      <w:pPr>
        <w:spacing w:after="0" w:line="19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Government authorities and other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68" w:lineRule="exact"/>
        <w:rPr>
          <w:sz w:val="20"/>
          <w:szCs w:val="20"/>
          <w:color w:val="auto"/>
        </w:rPr>
      </w:pPr>
    </w:p>
    <w:p>
      <w:pPr>
        <w:ind w:left="500" w:hanging="493"/>
        <w:spacing w:after="0"/>
        <w:tabs>
          <w:tab w:leader="none" w:pos="5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 covered benefit under its health plan;</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safe, effective and medically necessary;</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appropriate for the specific patient;</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cost-effective; and</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neither experimental nor investigational.</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440"/>
          </w:cols>
          <w:pgMar w:left="900" w:top="929" w:right="900" w:bottom="371" w:gutter="0" w:footer="0" w:header="0"/>
        </w:sectPr>
      </w:pPr>
    </w:p>
    <w:bookmarkStart w:id="88" w:name="page89"/>
    <w:bookmarkEnd w:id="88"/>
    <w:p>
      <w:pPr>
        <w:ind w:right="80"/>
        <w:spacing w:after="0" w:line="244" w:lineRule="auto"/>
        <w:rPr>
          <w:sz w:val="20"/>
          <w:szCs w:val="20"/>
          <w:color w:val="auto"/>
        </w:rPr>
      </w:pPr>
      <w:r>
        <w:rPr>
          <w:rFonts w:ascii="Times New Roman" w:cs="Times New Roman" w:eastAsia="Times New Roman" w:hAnsi="Times New Roman"/>
          <w:sz w:val="20"/>
          <w:szCs w:val="20"/>
          <w:color w:val="auto"/>
        </w:rPr>
        <w:t>In the United States, no uniform policy of coverage and reimbursement for products exists among third-party payors, and the principal decisions about reimbursement for new medicines are typically made by the Centers for Medicare &amp; Medicaid Services (“CMS”). CMS decides whether and to what extent a new medicine will be covered and reimbursed under Medicare and private payors tend to follow CMS to a substantial degree.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verekitug or any other potential future product candidates. Even if we do receive a favorable coverage determination for our products by third-party payors, coverage policies and third-party payor reimbursement rates may change at any time.</w:t>
      </w:r>
    </w:p>
    <w:p>
      <w:pPr>
        <w:spacing w:after="0" w:line="202"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0"/>
          <w:szCs w:val="20"/>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verekitug or any other potential future product candidates that we commercialize and, if reimbursement is available, the level of reimbursement. In addition, many pharmaceutical manufacturers must calculate and report certain price reporting metrics to the government, such as average sales price and best price. Penalties may apply in some cases when such metrics are not submitted accurately and timely. Further, these prices for drugs may be reduced by mandatory discounts or rebates required by government healthcare programs. Payment methodologies may be subject to changes in healthcare legislation and regulatory initiatives.</w:t>
      </w:r>
    </w:p>
    <w:p>
      <w:pPr>
        <w:spacing w:after="0" w:line="20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Moreover, increasing efforts by governmental and other third-party payors in the United States and abroad to cap or reduce healthcare costs may cause such organizations to limit both coverage and the level of reimbursement for newly approved products and, as a result, they may not cover or provide adequate payment for verekitug or any other potential future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We expect that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 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or clearances of verekitug or any other potential future product candidates, if any, may be.</w:t>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in some foreign countries, the proposed pricing for a product must be approved before it may be lawfully marketed. The requirements governing product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verekitug or any other potential future product candidates. Historically, products launched in the European Union do not follow price structures of the United States and generally prices tend to be significantly lower.</w:t>
      </w:r>
    </w:p>
    <w:p>
      <w:pPr>
        <w:spacing w:after="0" w:line="208"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color w:val="auto"/>
        </w:rPr>
        <w:t>For more information on the laws and regulations that may impact coverage and reimbursement of verekitug or any other potential future product candidates, see the section titled “Business—Government regulation—Coverage and reimbursement”.</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420"/>
          </w:cols>
          <w:pgMar w:left="900" w:top="929" w:right="920" w:bottom="371" w:gutter="0" w:footer="0" w:header="0"/>
        </w:sectPr>
      </w:pPr>
    </w:p>
    <w:bookmarkStart w:id="89" w:name="page90"/>
    <w:bookmarkEnd w:id="89"/>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Ongoing healthcare legislative and regulatory reform measures may have a material adverse effect on our business and results of operations.</w:t>
      </w:r>
    </w:p>
    <w:p>
      <w:pPr>
        <w:spacing w:after="0" w:line="48"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Changes in regulations, statutes or the interpretation of existing regulations could impact our business in the future by requiring, for example, (1) changes to our manufacturing arrangements, (2) additions or modifications to product labeling, (3) the recall or discontinuation of our products or (4) additional record-keeping requirements. If any such changes were to be imposed, they could adversely affect the operation of our business. See the sections titled “Business—Government regulation—Coverage and reimbursement” and “—Healthcare reform”.</w:t>
      </w:r>
    </w:p>
    <w:p>
      <w:pPr>
        <w:spacing w:after="0" w:line="197"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containment of healthcare costs has become a priority of federal, state and foreign governments, and the prices of products have been a focus in this effort. There have been a number of federal and state proposals during the last few years regarding the pricing of pharmaceutical products, limiting coverage and the amount of reimbursement for drugs and other medical products, government control and other changes to the healthcare system in the United States. Governments have shown significant interest in implementing cost-containment programs, including price controls, restrictions on reimbursement and requirements for substitution of generic products.</w:t>
      </w:r>
    </w:p>
    <w:p>
      <w:pPr>
        <w:spacing w:after="0" w:line="20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For example, the Inflation Reduction Act of 2022 (the “IRA”) includes several provisions that will impact our business to varying degrees, including provisions that allow the U.S. government to negotiate Medicare Part B and Part D pricing for certain high-cost drugs and biologics without generic or biosimilar competition, among others.</w:t>
      </w:r>
    </w:p>
    <w:p>
      <w:pPr>
        <w:spacing w:after="0" w:line="1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Further, the IRA also imposed rebates with respect to certain drugs and biologics covered under Medicare Part B or Medicare Part D to penalize price increases that outpace inflation. Adoption of price controls and cost-containment measures, and adoption of more restrictive policies in jurisdictions with existing controls and measures, could further limit our revenue generated from the sale of any approved products.</w:t>
      </w:r>
    </w:p>
    <w:p>
      <w:pPr>
        <w:spacing w:after="0" w:line="185"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 One Big Beautiful Bill Act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200"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Inflation Reduction Act that creates a distinction between small molecule and large molecule products for purposes of determining when a drug may be eligible for drug price negotiation. On May 12, 2025, the Trump Administration published Executive Order 14297, “Delivering Most-Favored-Nation (MFN)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 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“MFN” pricing rule enacted under the first Trump Administration was subject to an injunction resulting from judicial challenges to the rule, which was formally rescinded by the former Biden Administration in August 2021. Recent CMS proposals to implement MFN pricing in Medicare and Medicaid, including the GLOBE, GUARD, and GENEROUS models, could materially impact the Company’s revenue.</w:t>
      </w:r>
    </w:p>
    <w:p>
      <w:pPr>
        <w:spacing w:after="0" w:line="20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commercial products, which has resulted in several Congressional inquiries and proposed and enacted state and federal legislation designed to, among other things, bring more transparency to product pricing, review the relationship between pricing and manufacturer patient programs, and reform government program reimbursement methodologies for pharmaceutical products. Congress has indicated that it will continue to seek new legislative measures to control drug costs.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440"/>
          </w:cols>
          <w:pgMar w:left="900" w:top="929" w:right="900" w:bottom="371" w:gutter="0" w:footer="0" w:header="0"/>
        </w:sectPr>
      </w:pPr>
    </w:p>
    <w:bookmarkStart w:id="90" w:name="page91"/>
    <w:bookmarkEnd w:id="90"/>
    <w:p>
      <w:pPr>
        <w:ind w:right="40"/>
        <w:spacing w:after="0" w:line="244" w:lineRule="auto"/>
        <w:rPr>
          <w:sz w:val="20"/>
          <w:szCs w:val="20"/>
          <w:color w:val="auto"/>
        </w:rPr>
      </w:pPr>
      <w:r>
        <w:rPr>
          <w:rFonts w:ascii="Times New Roman" w:cs="Times New Roman" w:eastAsia="Times New Roman" w:hAnsi="Times New Roman"/>
          <w:sz w:val="20"/>
          <w:szCs w:val="20"/>
          <w:color w:val="auto"/>
        </w:rPr>
        <w:t>In December 2021, Regulation No 2021/2282 on Health Technology Assessment (“HTA”) amending Directive 2011/24/EU, was adopted in the EU. This Regulation, which entered into force in January 2022 and became applicable in January 2025, is intended to boost cooperation among EU Member States in assessing health technologies, including new medicinal products, and providing the basis for cooperation at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20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These laws, and future supranational, national state and federal healthcare reform measures may be adopted in the future, any of which may result in additional reductions in Medicare and other healthcare funding and otherwise affect the prices we may obtain for verekitug or any other potential future product candidates for which we may obtain regulatory approval or the frequency with which any such product candidate is prescribed or used.</w:t>
      </w:r>
    </w:p>
    <w:p>
      <w:pPr>
        <w:spacing w:after="0" w:line="313"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employees, independent contractors, consultants, and vendors may engage in misconduct or other improper activities, including noncompliance with regulatory standards and requirements.</w:t>
      </w:r>
    </w:p>
    <w:p>
      <w:pPr>
        <w:spacing w:after="0" w:line="4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are exposed to the risk of employee fraud or other illegal activity by our current and any future employees, independent contractors, consultants, contract manufacturing organizations, CROs and vendors. Misconduct by these parties could include intentional, reckless, and/or negligent conduct that fails to comply with FDA or other regulations, provide true, complete and accurate information to the FDA, the national competent authorities of individual EU Member States, and other comparable foreign regulatory authorities, comply with manufacturing standards we may establish, comply with healthcare fraud and abuse laws and regulations, report financial information or data accurately, or disclose unauthorized activities to us. If we obtain FDA approval of verekitug or any other potential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growth prospects.</w:t>
      </w:r>
    </w:p>
    <w:p>
      <w:pPr>
        <w:spacing w:after="0" w:line="329"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Off-label use or misuse of verekitug or any other potential future product candidates may harm our reputation in the marketplace or result in injuries that lead to costly product liability suits.</w:t>
      </w:r>
    </w:p>
    <w:p>
      <w:pPr>
        <w:spacing w:after="0" w:line="4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If verekitug or any other potential future product candidates are approved by the FDA, we may only promote or market them in a manner consistent with their FDA-approved labeling. We will train our marketing and sales force against promoting verekitug or any other potential future product candidates for uses outside of the approved indications for use, known as “off-label uses.” We cannot, however, prevent a physician from verekitug or any other potential future product candidates off-label, when in the physician’s independent professional medical judgment he or she deems it appropriate. Furthermore, the use of verekitug or any other potential future product candidates for indications other than those approved by the FDA may not effectively treat such conditions.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Any such off-label use of verekitug or any other potential future product candidates could harm our reputation in the marketplace among physicians and patients. There may also be increased risk of injury to patients if physicians attempt to use verekitug or any other potential future product candidates for these uses for which they are not approved, which could lead to product liability suits that might require significant financial and management resources and that could harm our reputation. Similar requirements and considerations apply abroad.</w:t>
      </w:r>
    </w:p>
    <w:p>
      <w:pPr>
        <w:spacing w:after="0" w:line="323"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EU drug marketing and reimbursement regulations may materially affect our ability to market and receive coverage for our products in the EU Member States.</w:t>
      </w:r>
    </w:p>
    <w:p>
      <w:pPr>
        <w:spacing w:after="0" w:line="4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We intend to seek approval to market verekitug or any other potential future product candidates in both the United States and in selected foreign jurisdictions. If we obtain approval in one or more foreign jurisdictions for verekitug or any other potential future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440"/>
          </w:cols>
          <w:pgMar w:left="900" w:top="929" w:right="900" w:bottom="371" w:gutter="0" w:footer="0" w:header="0"/>
        </w:sectPr>
      </w:pPr>
    </w:p>
    <w:bookmarkStart w:id="91" w:name="page92"/>
    <w:bookmarkEnd w:id="91"/>
    <w:p>
      <w:pPr>
        <w:ind w:right="40"/>
        <w:spacing w:after="0" w:line="246" w:lineRule="auto"/>
        <w:rPr>
          <w:sz w:val="20"/>
          <w:szCs w:val="20"/>
          <w:color w:val="auto"/>
        </w:rPr>
      </w:pPr>
      <w:r>
        <w:rPr>
          <w:rFonts w:ascii="Times New Roman" w:cs="Times New Roman" w:eastAsia="Times New Roman" w:hAnsi="Times New Roman"/>
          <w:sz w:val="20"/>
          <w:szCs w:val="20"/>
          <w:color w:val="auto"/>
        </w:rPr>
        <w:t>product candidates, we will be subject to rules and regulations in those jurisdictions. In some foreign countries, particularly those in the European Union, the pricing of products is subject to governmental control and other market regulations which could put pressure on the pricing and usage of verekitug or any other potential future product candidates. In these countries, pricing negotiations with governmental authorities can take considerable time after obtaining marketing approval of a product candidate. In addition, market acceptance and sales of verekitug or any other potential future product candidates will depend significantly on the availability of adequate coverage and reimbursement from third-party payors for them and may be affected by existing and future healthcare reform measures.</w:t>
      </w:r>
    </w:p>
    <w:p>
      <w:pPr>
        <w:spacing w:after="0" w:line="20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Much like the federal Anti-Kickback Statute prohibition in the United States, the provision of benefits or advantages to physicians and other healthcare professionals to induce or encourage the prescription, recommendation, endorsement, purchase, supply, order or use of medicinal products is also prohibited in the European Union. Interactions between pharmaceutical companies and healthcare professionals, including the provision of benefits or advantages, are governed by strict laws, such as national anti-bribery laws of individual EU Member States and the Bribery Act 2010 in the UK,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these laws could result in substantial fines and imprisonment.</w:t>
      </w:r>
    </w:p>
    <w:p>
      <w:pPr>
        <w:spacing w:after="0" w:line="201"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Payments made to physicians and other healthcare professionals in certain EU Member States must be publicly disclosed. Moreover, agreements with physicians often may require prior notification or approval by the healthcare professional’s employer, his or her competent professional organization and/or the regulatory authorities of the individual EU Member States. Failure to comply with these requirements could result in reputational risk, public reprimands, administrative penalties, fines or imprisonment.</w:t>
      </w:r>
    </w:p>
    <w:p>
      <w:pPr>
        <w:spacing w:after="0" w:line="19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In addition, in some foreign countries, including some countries in the European Union, the proposed pricing for a product must be approved before it may be lawfully marketed. The requirements governing product pricing and reimbursement vary widely from country to country. The European Union provides options for its Member States to restrict the range of medicinal products for which their national health insurance systems provide reimbursement and to control the prices of medicinal products for human use. An EU Member State may approve a specific price for the medicinal product, it may refuse to reimburse a product at the price set by the manufacturer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We expect that legislators, policymakers and healthcare insurance funds in the individual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This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Reference pricing used by various EU Member States and parallel distribution, or arbitrage between low-priced and high-priced EU Member States, can further reduce prices.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verekitug or any other potential future product candidates in those countries would be negatively affected.</w:t>
      </w:r>
    </w:p>
    <w:p>
      <w:pPr>
        <w:spacing w:after="0" w:line="33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export and import controls, economic sanctions, and anti-corruption laws and regulations of the United States and other jurisdictions. We can face criminal liability and other serious consequences for violations of these laws and regulations, which can harm our business.</w:t>
      </w:r>
    </w:p>
    <w:p>
      <w:pPr>
        <w:spacing w:after="0" w:line="6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 Export controls and trade sanctions laws and regulations may restrict or prohibit altogether the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440"/>
          </w:cols>
          <w:pgMar w:left="900" w:top="929" w:right="900" w:bottom="371" w:gutter="0" w:footer="0" w:header="0"/>
        </w:sectPr>
      </w:pPr>
    </w:p>
    <w:bookmarkStart w:id="92" w:name="page93"/>
    <w:bookmarkEnd w:id="92"/>
    <w:p>
      <w:pPr>
        <w:spacing w:after="0" w:line="243" w:lineRule="auto"/>
        <w:rPr>
          <w:sz w:val="20"/>
          <w:szCs w:val="20"/>
          <w:color w:val="auto"/>
        </w:rPr>
      </w:pPr>
      <w:r>
        <w:rPr>
          <w:rFonts w:ascii="Times New Roman" w:cs="Times New Roman" w:eastAsia="Times New Roman" w:hAnsi="Times New Roman"/>
          <w:sz w:val="20"/>
          <w:szCs w:val="20"/>
          <w:color w:val="auto"/>
        </w:rPr>
        <w:t>provision, sale, or supply of our products to certain governments, persons, entities, countries, and territories, including those that are the target of comprehensive sanctions or an embargo. We are also subject to anti-corruption and anti-bribery laws, including the U.S. Foreign Corrupt Practices Act of 1977, as amended, the U.S. domestic bribery statute contained in 18 U.S.C. § 201, the U.S. Travel Act, and other state and national anti-bribery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32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or any third-party manufacturer we engage now or in the future fail to comply with environmental, health and safety laws and regulations, we could become subject to fines or penalties or incur costs or liabilities that could have a material adverse effect on our business.</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0"/>
          <w:szCs w:val="20"/>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94"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8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verekitug or any other potential future product candidates.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w:t>
      </w:r>
    </w:p>
    <w:p>
      <w:pPr>
        <w:spacing w:after="0" w:line="164"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success is largely based upon our intellectual property and proprietary technologies, and we may be unable to protect and/or enforce our intellectual property.</w:t>
      </w:r>
    </w:p>
    <w:p>
      <w:pPr>
        <w:spacing w:after="0" w:line="4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Our success depends, in large part, on our ability to obtain and maintain patent protection and trade secret protection for verekitug or any other potential future product candidates and their formulations and uses, as well as successfully enforcing our patents against third-party infringers and/or defending these patents against third-party challenges. If we (or our licensees should such licensees be granted the right to prosecute or enforce certain patents within our portfolio) fail to appropriately prosecute or are unable to obtain and maintain patent protection for verekitug or any other potential future product candidates (or aspects thereof), our ability to develop, license and/or commercialize these product candidates may be adversely affected and we may not be able to prevent competitors from making, using, selling or importing competing products. This failure or inability to properly or adequately protect the intellectual property rights relating to these product candidates could have a material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440"/>
          </w:cols>
          <w:pgMar w:left="900" w:top="929" w:right="900" w:bottom="371" w:gutter="0" w:footer="0" w:header="0"/>
        </w:sectPr>
      </w:pPr>
    </w:p>
    <w:bookmarkStart w:id="93" w:name="page94"/>
    <w:bookmarkEnd w:id="93"/>
    <w:p>
      <w:pPr>
        <w:ind w:right="340"/>
        <w:spacing w:after="0" w:line="259" w:lineRule="auto"/>
        <w:rPr>
          <w:sz w:val="20"/>
          <w:szCs w:val="20"/>
          <w:color w:val="auto"/>
        </w:rPr>
      </w:pPr>
      <w:r>
        <w:rPr>
          <w:rFonts w:ascii="Times New Roman" w:cs="Times New Roman" w:eastAsia="Times New Roman" w:hAnsi="Times New Roman"/>
          <w:sz w:val="20"/>
          <w:szCs w:val="20"/>
          <w:color w:val="auto"/>
        </w:rPr>
        <w:t>The patent application process is subject to numerous risks and uncertainties, and there can be no assurance that we or our partners will be successful in protecting verekitug or any other potential future product candidates by obtaining, enforcing and defending patents. These risks and uncertainties include the following:</w:t>
      </w:r>
    </w:p>
    <w:p>
      <w:pPr>
        <w:spacing w:after="0" w:line="67" w:lineRule="exact"/>
        <w:rPr>
          <w:sz w:val="20"/>
          <w:szCs w:val="20"/>
          <w:color w:val="auto"/>
        </w:rPr>
      </w:pPr>
    </w:p>
    <w:p>
      <w:pPr>
        <w:ind w:left="500" w:hanging="493"/>
        <w:spacing w:after="0"/>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patent applications may not result in any patent being issued;</w:t>
      </w:r>
    </w:p>
    <w:p>
      <w:pPr>
        <w:spacing w:after="0" w:line="119" w:lineRule="exact"/>
        <w:rPr>
          <w:rFonts w:ascii="Arial" w:cs="Arial" w:eastAsia="Arial" w:hAnsi="Arial"/>
          <w:sz w:val="20"/>
          <w:szCs w:val="20"/>
          <w:color w:val="auto"/>
        </w:rPr>
      </w:pPr>
    </w:p>
    <w:p>
      <w:pPr>
        <w:ind w:left="500" w:right="240" w:hanging="493"/>
        <w:spacing w:after="0" w:line="277"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patents that may be issued may not include claims that cover a broad enough scope to prevent design around solutions by competitors;</w:t>
      </w:r>
    </w:p>
    <w:p>
      <w:pPr>
        <w:spacing w:after="0" w:line="48" w:lineRule="exact"/>
        <w:rPr>
          <w:rFonts w:ascii="Arial" w:cs="Arial" w:eastAsia="Arial" w:hAnsi="Arial"/>
          <w:sz w:val="20"/>
          <w:szCs w:val="20"/>
          <w:color w:val="auto"/>
        </w:rPr>
      </w:pPr>
    </w:p>
    <w:p>
      <w:pPr>
        <w:ind w:left="500" w:right="80" w:hanging="493"/>
        <w:spacing w:after="0" w:line="277"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patents that may be issued may be challenged, invalidated, modified, revoked, circumvented, found to be unenforceable, or otherwise may not provide adequate barriers to entry or any competitive advantage;</w:t>
      </w:r>
    </w:p>
    <w:p>
      <w:pPr>
        <w:spacing w:after="0" w:line="48" w:lineRule="exact"/>
        <w:rPr>
          <w:rFonts w:ascii="Arial" w:cs="Arial" w:eastAsia="Arial" w:hAnsi="Arial"/>
          <w:sz w:val="20"/>
          <w:szCs w:val="20"/>
          <w:color w:val="auto"/>
        </w:rPr>
      </w:pPr>
    </w:p>
    <w:p>
      <w:pPr>
        <w:ind w:left="500" w:right="20" w:hanging="493"/>
        <w:spacing w:after="0" w:line="259"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because of the extensive time required for development, testing and regulatory review of a potential product, it is possible that before a potential product can be commercialized, any related patent may expire, or remain in existence for only a short period following commercialization, reducing, or eliminating any advantage of the patent;</w:t>
      </w:r>
    </w:p>
    <w:p>
      <w:pPr>
        <w:spacing w:after="0" w:line="65" w:lineRule="exact"/>
        <w:rPr>
          <w:rFonts w:ascii="Arial" w:cs="Arial" w:eastAsia="Arial" w:hAnsi="Arial"/>
          <w:sz w:val="20"/>
          <w:szCs w:val="20"/>
          <w:color w:val="auto"/>
        </w:rPr>
      </w:pPr>
    </w:p>
    <w:p>
      <w:pPr>
        <w:jc w:val="both"/>
        <w:ind w:left="500" w:right="320" w:hanging="493"/>
        <w:spacing w:after="0" w:line="258"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many of which have substantially greater resources than us or our partners do, and many of which have made significant investments in competing technologies, may seek, or may already have sought or obtained, patents that will limit, interfere with, or eliminate our ability to make, use, and sell our potential products;</w:t>
      </w:r>
    </w:p>
    <w:p>
      <w:pPr>
        <w:spacing w:after="0" w:line="67" w:lineRule="exact"/>
        <w:rPr>
          <w:rFonts w:ascii="Arial" w:cs="Arial" w:eastAsia="Arial" w:hAnsi="Arial"/>
          <w:sz w:val="20"/>
          <w:szCs w:val="20"/>
          <w:color w:val="auto"/>
        </w:rPr>
      </w:pPr>
    </w:p>
    <w:p>
      <w:pPr>
        <w:ind w:left="500" w:right="120" w:hanging="493"/>
        <w:spacing w:after="0" w:line="259"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there may be significant pressure on the U.S. government and other international governmental bodies to limit the scope of patent protection for disease treatments that prove successful as a matter of public policy regarding worldwide health concerns;</w:t>
      </w:r>
    </w:p>
    <w:p>
      <w:pPr>
        <w:spacing w:after="0" w:line="65" w:lineRule="exact"/>
        <w:rPr>
          <w:rFonts w:ascii="Arial" w:cs="Arial" w:eastAsia="Arial" w:hAnsi="Arial"/>
          <w:sz w:val="20"/>
          <w:szCs w:val="20"/>
          <w:color w:val="auto"/>
        </w:rPr>
      </w:pPr>
    </w:p>
    <w:p>
      <w:pPr>
        <w:ind w:left="500" w:right="180" w:hanging="493"/>
        <w:spacing w:after="0" w:line="277"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countries other than the United States may have patent laws less favorable to patentees than those upheld by United States courts, allowing foreign competitors a better opportunity to create, develop, and market competing products; and</w:t>
      </w:r>
    </w:p>
    <w:p>
      <w:pPr>
        <w:spacing w:after="0" w:line="48" w:lineRule="exact"/>
        <w:rPr>
          <w:rFonts w:ascii="Arial" w:cs="Arial" w:eastAsia="Arial" w:hAnsi="Arial"/>
          <w:sz w:val="20"/>
          <w:szCs w:val="20"/>
          <w:color w:val="auto"/>
        </w:rPr>
      </w:pPr>
    </w:p>
    <w:p>
      <w:pPr>
        <w:ind w:left="500" w:right="280" w:hanging="493"/>
        <w:spacing w:after="0" w:line="277" w:lineRule="auto"/>
        <w:tabs>
          <w:tab w:leader="none" w:pos="50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involved in lawsuits to protect or enforce our patents or the patents we have rights to enforce, which could be expensive, time consuming and/or unsuccessful.</w:t>
      </w:r>
    </w:p>
    <w:p>
      <w:pPr>
        <w:spacing w:after="0" w:line="169"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In addition to patents, we also rely on trade secrets and proprietary know-how. Although we have taken steps to protect our trade secrets and unpatented know-how, including entering into confidentiality agreements with third parties, and confidential information and assignment agreements with employees, consultants, and advisors, there exists the potential that third parties may still somehow obtain this information or arrive at the same or similar information independently, which would reduce or eliminate our competitive advantage. Moreover, we may become subject to claims that we directly or indirectly (through our consultants, advisors, or independent contractors that we may engage to assist us in developing verekitug or any other potential future product candidates) have wrongfully or inadvertently disclosed, acquired or used trade secrets or other proprietary information of third parties.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forced to litigate to enforce or defend our intellectual property rights.</w:t>
      </w:r>
    </w:p>
    <w:p>
      <w:pPr>
        <w:spacing w:after="0" w:line="1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may be forced to litigate to enforce or defend our intellectual property rights against infringement by competitors, and to protect our trade secrets against unauthorized use. In so doing, we may place our intellectual property at risk of being invalidated, rendered unenforceable, or limited or narrowed in scope such that we may no longer be used to adequately prevent the manufacture, sale or import of competitive product. Further, an adverse result in any litigation or other proceedings before government agencies such as the United States Patent and Trademark Office (the “USPTO”), may place pending applications at risk of non-issuance or limitations in scope. Further, derivation proceedings, entitlement proceedings, ex parte reexamination, inter partes review, post grant review, and opposition proceedings provoked by third parties or brought by the USPTO or any foreign patent authority may be used to challenge the inventorship, ownership, claim scope, or validity of our patents. Additionally, because of the substantial amount of discovery typically required in connection with intellectual property litigation, there is a risk that some of our confidential and proprietary information or trade secrets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value of the company.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440"/>
          </w:cols>
          <w:pgMar w:left="900" w:top="929" w:right="900" w:bottom="371" w:gutter="0" w:footer="0" w:header="0"/>
        </w:sectPr>
      </w:pPr>
    </w:p>
    <w:bookmarkStart w:id="94" w:name="page95"/>
    <w:bookmarkEnd w:id="94"/>
    <w:p>
      <w:pPr>
        <w:ind w:right="720"/>
        <w:spacing w:after="0" w:line="278" w:lineRule="auto"/>
        <w:rPr>
          <w:sz w:val="20"/>
          <w:szCs w:val="20"/>
          <w:color w:val="auto"/>
        </w:rPr>
      </w:pPr>
      <w:r>
        <w:rPr>
          <w:rFonts w:ascii="Times New Roman" w:cs="Times New Roman" w:eastAsia="Times New Roman" w:hAnsi="Times New Roman"/>
          <w:sz w:val="20"/>
          <w:szCs w:val="20"/>
          <w:color w:val="auto"/>
        </w:rPr>
        <w:t>continuation of patent litigation or other proceedings could have a material adverse effect on our ability to compete in the marketplace.</w:t>
      </w:r>
    </w:p>
    <w:p>
      <w:pPr>
        <w:spacing w:after="0" w:line="1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If we enter into future arrangements involving government funding, and we make inventions as a result of such funding, our intellectual property rights to such discoveries may be subject to the applicable provisions of the Bayh Dole Act of 1980. To the extent any of our current or future intellectual property is generated through the use of U.S. government funding, the provisions of the Bayh Dole Act may similarly apply. Any exercise by the government of certain of our rights could harm our competitive position, business, financial condition, results of operations and growth prospects.</w:t>
      </w:r>
    </w:p>
    <w:p>
      <w:pPr>
        <w:spacing w:after="0" w:line="317"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If we or our partners are sued for infringing or misappropriating the intellectual property rights of third parties, it could be costly and time consuming, and an unfavorable outcome in any such litigation could have a material adverse effect on our business.</w:t>
      </w:r>
    </w:p>
    <w:p>
      <w:pPr>
        <w:spacing w:after="0" w:line="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Our success also depends upon our ability and the ability of us any of our future partners to develop, manufacture, market and sell verekitug or any other potential future product candidates without infringing on the proprietary rights of third parties. Numerous United States and foreign issued patents and pending patent applications, which are owned by third parties, exist in the fields in which we are developing products, some of which may be directed at claims that overlap with the subject matter of our intellectual property. Because patent applications can take many years to issue, there may be currently pending applications, now unknown to us, which may later result in issued patents that verekitug or any other potential future product candidates or proprietary technologies may be alleged to infringe upon. Similarly, there may be issued patents relevant to verekitug or any other potential future product candidates of which we are not aware.</w:t>
      </w:r>
    </w:p>
    <w:p>
      <w:pPr>
        <w:spacing w:after="0" w:line="2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In addition, third parties may sue us alleging that we infringe, or have infringed, on their patents. Even if we are successful in defending any claims of infringement, the defense of such claims may be costly and present a time consuming distraction. In the event of a successful claim of infringement against us, we may be required to:</w:t>
      </w:r>
    </w:p>
    <w:p>
      <w:pPr>
        <w:spacing w:after="0" w:line="68" w:lineRule="exact"/>
        <w:rPr>
          <w:sz w:val="20"/>
          <w:szCs w:val="20"/>
          <w:color w:val="auto"/>
        </w:rPr>
      </w:pPr>
    </w:p>
    <w:p>
      <w:pPr>
        <w:ind w:left="500" w:hanging="493"/>
        <w:spacing w:after="0"/>
        <w:tabs>
          <w:tab w:leader="none" w:pos="5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pay substantial damages and/or ongoing royalty payments;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stop using some or all of our technologies and methods;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stop certain research and development efforts;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develop non infringing products or methods (i.e., develop or design around); and/or</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obtain one or more licenses from third parties for an upfront lump sum, an ongoing royalty, or a combination thereof.</w:t>
      </w:r>
    </w:p>
    <w:p>
      <w:pPr>
        <w:spacing w:after="0" w:line="240"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20"/>
          <w:szCs w:val="20"/>
          <w:color w:val="auto"/>
        </w:rPr>
        <w:t>If required, there can be no assurance that we will be able to obtain such licenses on acceptable terms, or at all. If we are sued for infringement, we could encounter substantial delays in the development, manufacture, and commercialization of verekitug or any other potential future product candidates. Any litigation, whether to enforce our patent rights or to defend against allegations that we allegedly infringe on third-party rights, could be costly, time consuming, and may distract management from other important tasks.</w:t>
      </w:r>
    </w:p>
    <w:p>
      <w:pPr>
        <w:spacing w:after="0" w:line="19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As is commonplace in the biotechnology and pharmaceutical industry, we employ individuals who were previously employed at other biotechnology or pharmaceutical companies, including our competitors or potential competitors. To the extent our employees are involved in research endeavors that are similar to those which they were involved in at their former place of employment, we may be subject to claims that such employees and/or we have inadvertently or otherwise used or disclosed the alleged trade secrets or other proprietary information of such former employers. Litigation may be necessary to defend against such claims, which could result in substantial costs, be a distraction to management and ultimately have a material adverse effect on us, even if we are successful in defending such claims.</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biotechnology and pharmaceutical industries have experienced substantial litigation and other proceedings concerning intellectual property rights, and third parties may initiate legal proceedings alleging that we are infringing, misappropriating, or otherwise violating their intellectual property rights, the outcome of which could be uncertain and may prevent, delay, or otherwise interfere with our product discovery and development efforts. Our commercial success depends upon our ability or may depend on the ability of future collaborators to develop, manufacture, market, and sell our products. The biotechnology and pharmaceutical industries are characterized by extensive litigation regarding patents and other intellectual property rights as well as administrative proceedings for challenging patents, including derivation, inter partes review, post grant review, and reexamination proceedings before the USPTO or oppositions and other comparable proceedings in foreign jurisdictions. We may be subject to, and may in the future become party to, or threatened with, adversarial proceedings or litigation concerning intellectual property rights with respect to verekitug or any other potential future product candidates we may develop, including</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440"/>
          </w:cols>
          <w:pgMar w:left="900" w:top="929" w:right="900" w:bottom="371" w:gutter="0" w:footer="0" w:header="0"/>
        </w:sectPr>
      </w:pPr>
    </w:p>
    <w:bookmarkStart w:id="95" w:name="page96"/>
    <w:bookmarkEnd w:id="95"/>
    <w:p>
      <w:pPr>
        <w:ind w:right="180"/>
        <w:spacing w:after="0" w:line="249" w:lineRule="auto"/>
        <w:rPr>
          <w:sz w:val="20"/>
          <w:szCs w:val="20"/>
          <w:color w:val="auto"/>
        </w:rPr>
      </w:pPr>
      <w:r>
        <w:rPr>
          <w:rFonts w:ascii="Times New Roman" w:cs="Times New Roman" w:eastAsia="Times New Roman" w:hAnsi="Times New Roman"/>
          <w:sz w:val="20"/>
          <w:szCs w:val="20"/>
          <w:color w:val="auto"/>
        </w:rPr>
        <w:t>interference proceedings, post grant review, inter partes review, and derivation proceedings before the USPTO and similar proceedings in foreign jurisdictions such as oppositions before the European Patent Office. Numerous United States and foreign issued patents and pending patent applications that are owned by third parties exist in the fields in which we are developing verekitug or any other potential future product candidates and infringement claims may be asserted against us or our partners based on existing patents or patents that may be granted in the future, regardless of their merit.</w:t>
      </w:r>
    </w:p>
    <w:p>
      <w:pPr>
        <w:spacing w:after="0" w:line="19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It is not always clear to industry participants, including us, which patents cover various types of therapies, products or their methods of use or manufacture. Moreover, as with many technology -based products, there may be third-party patent applications that, if issued, may include the claims that could be or are construed to cover components of verekitug or any other potential future product candidates. There may also be third-party patents of which we are currently unaware with claims to our technologies, compositions, methods of manufacture or methods of use.</w:t>
      </w:r>
    </w:p>
    <w:p>
      <w:pPr>
        <w:spacing w:after="0" w:line="19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Our ability to commercialize verekitug or any other potential future product candidates in the United States and abroad may be adversely affected if we cannot successfully defend against infringement claims or obtain a license on commercially reasonable terms to relevant third-party patents that cover verekitug or any other potential future product candidates. Even if we have a strong defense and/or believe that third-party intellectual property claims are without merit, there can be no assurance that a court would find in our favor on questions of infringement, validity, enforceability, and/or priority. A court of competent jurisdiction could hold that these third-party patents are valid and enforceable and have been infringed upon, which could materially and adversely affect our ability to commercialize verekitug or any other potential future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claims, there is no assurance that a court of competent jurisdiction would invalidate the asserted claims of any such U.S. patent. If we are found to be infringing on a third party’s intellectual property rights, and we are unsuccessful in demonstrating that any such patents are invalid or unenforceable, we could be required to pay damages and/or an ongoing royalty or obtain a license from such third party to continue developing, manufacturing, and marketing verekitug or any other potential future product candidates and our technologies. However, we may not be able to obtain any required license on commercially reasonable terms or at all. Even if we were able to obtain such a license, it could be non-exclusive, thereby giving our competitors and other third parties access to the same technologies licensed to it, and it could require us to pay substantial licensing fees and/or make ongoing royalty payments. If we are unable to obtain a necessary license to a third-party patent on commercially reasonable terms, we may be unable to commercialize verekitug or any other potential future product candidates or such commercialization efforts may be significantly delayed, which could in turn significantly harm our business. While less likely given the high bar required for injunction, we also could be temporarily or permanently forced, including by court order, to cease developing, manufacturing, and commercializing the infringing technology or product candidates. In addition, we could be found liable for significant monetary damages, including treble damages and attorneys’ fees, if we are found to have willfully infringed on a patent or other intellectual property right. Claims that we have misappropriated the confidential information or trade secrets of third parties could have a similar material adverse effect on our business, financial condition, results of operations and growth prospects.</w:t>
      </w:r>
    </w:p>
    <w:p>
      <w:pPr>
        <w:spacing w:after="0" w:line="216"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defense of third -party claims of alleged infringement or misappropriation of a third party’s intellectual property rights often involves substantial litigation expense and could also be a substantial diversion of management and employee time and resources from our business. Some third parties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growth prospects. There could also be public announcements of the results of hearings, motions, or other interim proceedings or developments, and if securities analysts or investors perceive these results to be negative, this could have a substantial adverse effect on the price of our common stock.</w:t>
      </w:r>
    </w:p>
    <w:p>
      <w:pPr>
        <w:spacing w:after="0" w:line="20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8"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20"/>
          <w:szCs w:val="20"/>
          <w:color w:val="auto"/>
        </w:rPr>
        <w:t>Periodic maintenance fees, renewal fees, annuity fees, and various other government fees on patents and applications are due to be paid to the USPTO and foreign patent agencies outside of the United States over the lifetime of our patents and applications. If, in the future, we in-license patent rights, in the case of any in-licensed patent rights, we generally rely on our licensors to pay these fees due to U.S. and non U.S. patent agencies. For patent rights we own, we may rely on our outside patent counsel and/or annuity services in the United States and foreign countries to monitor these deadlines and to pay these fees when so instructed by us.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440"/>
          </w:cols>
          <w:pgMar w:left="900" w:top="929" w:right="900" w:bottom="371" w:gutter="0" w:footer="0" w:header="0"/>
        </w:sectPr>
      </w:pPr>
    </w:p>
    <w:bookmarkStart w:id="96" w:name="page97"/>
    <w:bookmarkEnd w:id="96"/>
    <w:p>
      <w:pPr>
        <w:spacing w:after="0" w:line="244" w:lineRule="auto"/>
        <w:rPr>
          <w:sz w:val="20"/>
          <w:szCs w:val="20"/>
          <w:color w:val="auto"/>
        </w:rPr>
      </w:pPr>
      <w:r>
        <w:rPr>
          <w:rFonts w:ascii="Times New Roman" w:cs="Times New Roman" w:eastAsia="Times New Roman" w:hAnsi="Times New Roman"/>
          <w:sz w:val="20"/>
          <w:szCs w:val="20"/>
          <w:color w:val="auto"/>
        </w:rPr>
        <w:t>The USPTO and foreign patent agencies require compliance with procedural, documentary, fee payment, and other similar provisions, such as the requirement to disclose known prior art, during the patent application process. In the case of any in-licensed patent rights, we will generally depend on our licensors to take the necessary action to comply with these requirements with respect to our licensed intellectual property, and for our owned patent applications, we engage counsel and other professionals to help us comply with these requirements. While certain inadvertent lapses can be cured by payment of a late fee, by petition, or by other means in accordance with the applicable rules, there are situations in which non-compliance can result in a partial or complete loss of patent rights in the relevant jurisdiction. In the unlikely event that a non-compliance event were to occur, our competitors might be able to enter the market with similar or identical products or technology given our partial or complete loss of patent rights, which could have a material adverse effect on our business, financial condition, results of operations and growth prospects.</w:t>
      </w:r>
    </w:p>
    <w:p>
      <w:pPr>
        <w:spacing w:after="0" w:line="322" w:lineRule="exact"/>
        <w:rPr>
          <w:sz w:val="20"/>
          <w:szCs w:val="20"/>
          <w:color w:val="auto"/>
        </w:rPr>
      </w:pPr>
    </w:p>
    <w:p>
      <w:pPr>
        <w:ind w:right="8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verekitug or any other potential future product candidates for an adequate amount of time.</w:t>
      </w:r>
    </w:p>
    <w:p>
      <w:pPr>
        <w:spacing w:after="0" w:line="49"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patent is generally 20 years from the earliest non provisional filing date in the applicable country. However, the actual protection afforded by a patent varies from country to country, and also depends upon many factors, including the type of patent, the scope of coverage, the availability of regulatory related extensions, the availability of legal remedies in a particular country and the validity and enforceability of the patent, and whether a portion of the patent term has been terminally disclaimed based on other patents. Various extensions including patent term extension and patent term adjustment may be available, but the lives of such extensions, and the protections they afford, are limited. Even if patents covering verekitug or any other potential future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verekitug or any other potential future product candidates might expire before or shortly after we or our partners commercialize those candidates. As a result, our patent portfolio may not provide us with sufficient rights to exclude others from commercializing products similar or identical to ours for an adequate time period.</w:t>
      </w:r>
    </w:p>
    <w:p>
      <w:pPr>
        <w:spacing w:after="0" w:line="323" w:lineRule="exact"/>
        <w:rPr>
          <w:sz w:val="20"/>
          <w:szCs w:val="20"/>
          <w:color w:val="auto"/>
        </w:rPr>
      </w:pPr>
    </w:p>
    <w:p>
      <w:pPr>
        <w:ind w:right="6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sufficient patent term protections for verekitug or any other potential future product candidates, our business may be materially harmed.</w:t>
      </w:r>
    </w:p>
    <w:p>
      <w:pPr>
        <w:spacing w:after="0" w:line="49"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20"/>
          <w:szCs w:val="20"/>
          <w:color w:val="auto"/>
        </w:rPr>
        <w:t>Patents have a limited term. In the United States, the statutory expiration of a patent is generally 20 years after it is filed. Additional patent terms may be available through a patent term adjustment process, resulting from USPTO delays during prosecution. Although various extensions may be available, the life of a patent, and the protection it affords, is limited. Even if patents covering verekitug or any other potential future product candidates are obtained, once the patent life has expired for a product candidate, we may be open to competition from generics or biosimilars.</w:t>
      </w:r>
    </w:p>
    <w:p>
      <w:pPr>
        <w:spacing w:after="0" w:line="19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Depending upon the timing, duration, and specifics of FDA regulatory approval of verekitug or any other potential future product candidates, one or more patents issued from U.S. patent applications that we file or those of our future licensors may be eligible for limited patent term restoration under the Drug Price Competition and Patent Term Restoration Act of 1984 (the “Hatch-Waxman Amendments”). The Hatch-Waxman Amendments permit a patent restoration term of up to five years as compensation for patent term lost during the FDA regulatory review process based on the first regulatory approval for a particular drug or biologic. A maximum of one patent may be extended per FDA-approved drug as compensation for the patent term lost during the FDA regulatory review process. A patent term extension cannot extend the remaining term of a patent beyond a total of 14 years from the date of drug approval, and only those claims covering such approved drug product, a method for using it or a method for manufacturing it may be extended. Patent term extension may also be available in certain foreign countries upon regulatory approval of verekitug or any other potential future product candidates.</w:t>
      </w:r>
    </w:p>
    <w:p>
      <w:pPr>
        <w:spacing w:after="0" w:line="20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Despite the possibility of an extension, we may not be granted an extension for which it applies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or the scope of patent protection afforded could be less than we request.</w:t>
      </w:r>
    </w:p>
    <w:p>
      <w:pPr>
        <w:spacing w:after="0" w:line="19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If we are unable to obtain patent term extension or restoration, or the foreign equivalent, or the term of any such extension is less than we request, our competitors or other third parties may obtain approval of competing drugs following our patent expiration, and our revenue could be reduced, possibly materially. Further, if this occurs, our competitors or other third parties may take advantage of our investment in development and trials by referencing our clinical and preclinical data and launch their drug</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440"/>
          </w:cols>
          <w:pgMar w:left="900" w:top="929" w:right="900" w:bottom="371" w:gutter="0" w:footer="0" w:header="0"/>
        </w:sectPr>
      </w:pPr>
    </w:p>
    <w:bookmarkStart w:id="97" w:name="page98"/>
    <w:bookmarkEnd w:id="97"/>
    <w:p>
      <w:pPr>
        <w:ind w:right="160"/>
        <w:spacing w:after="0" w:line="278" w:lineRule="auto"/>
        <w:rPr>
          <w:sz w:val="20"/>
          <w:szCs w:val="20"/>
          <w:color w:val="auto"/>
        </w:rPr>
      </w:pPr>
      <w:r>
        <w:rPr>
          <w:rFonts w:ascii="Times New Roman" w:cs="Times New Roman" w:eastAsia="Times New Roman" w:hAnsi="Times New Roman"/>
          <w:sz w:val="20"/>
          <w:szCs w:val="20"/>
          <w:color w:val="auto"/>
        </w:rPr>
        <w:t>earlier than might otherwise be the case. Any of the foregoing could materially harm our business, financial condition, results of operations and growth prospects.</w:t>
      </w:r>
    </w:p>
    <w:p>
      <w:pPr>
        <w:spacing w:after="0" w:line="288" w:lineRule="exact"/>
        <w:rPr>
          <w:sz w:val="20"/>
          <w:szCs w:val="20"/>
          <w:color w:val="auto"/>
        </w:rPr>
      </w:pPr>
    </w:p>
    <w:p>
      <w:pPr>
        <w:jc w:val="both"/>
        <w:ind w:right="5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 in the United States and in non U.S. jurisdictions could diminish the value of patents in general, thereby impairing our ability to protect our technologies and verekitug or any other potential future product candidates.</w:t>
      </w:r>
    </w:p>
    <w:p>
      <w:pPr>
        <w:spacing w:after="0" w:line="1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As is the case with other biotech and pharmaceutical companies, our success is heavily dependent on intellectual property, particularly patents. Obtaining and enforcing patents in the biopharmaceutical industry involves both technological and legal complexity, and are therefore costly, time consuming and inherently uncertain. Recent rulings from the U.S. Supreme Court and the Court of Appeals for the Federal Circuit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0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In addition, U.S. Supreme Court rulings over the past decade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validity and enforceability of issued patents. Depending on future actions by the U.S. Congress, the federal courts, and the USPTO, the laws and regulations governing patents could change in unpredictable ways that could weaken our ability to obtain new patents or to enforce and/or defend our existing patents and patents that we might obtain in the future.</w:t>
      </w:r>
    </w:p>
    <w:p>
      <w:pPr>
        <w:spacing w:after="0" w:line="200"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20"/>
          <w:szCs w:val="20"/>
          <w:color w:val="auto"/>
        </w:rPr>
        <w:t xml:space="preserve">The USPTO has issued subject matter eligibility guidance instructing USPTO examiners on the ramifications of the Supreme Court rulings in </w:t>
      </w:r>
      <w:r>
        <w:rPr>
          <w:rFonts w:ascii="Times New Roman" w:cs="Times New Roman" w:eastAsia="Times New Roman" w:hAnsi="Times New Roman"/>
          <w:sz w:val="20"/>
          <w:szCs w:val="20"/>
          <w:i w:val="1"/>
          <w:iCs w:val="1"/>
          <w:color w:val="auto"/>
        </w:rPr>
        <w:t>Mayo Collaborative Services v. Prometheus Laboratories, Inc.</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i w:val="1"/>
          <w:iCs w:val="1"/>
          <w:color w:val="auto"/>
        </w:rPr>
        <w:t>Association for Molecular Pathology v.</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Myriad Genetics, Inc.</w:t>
      </w:r>
      <w:r>
        <w:rPr>
          <w:rFonts w:ascii="Times New Roman" w:cs="Times New Roman" w:eastAsia="Times New Roman" w:hAnsi="Times New Roman"/>
          <w:sz w:val="20"/>
          <w:szCs w:val="20"/>
          <w:color w:val="auto"/>
        </w:rPr>
        <w:t>, and applied the</w:t>
      </w:r>
      <w:r>
        <w:rPr>
          <w:rFonts w:ascii="Times New Roman" w:cs="Times New Roman" w:eastAsia="Times New Roman" w:hAnsi="Times New Roman"/>
          <w:sz w:val="20"/>
          <w:szCs w:val="20"/>
          <w:i w:val="1"/>
          <w:iCs w:val="1"/>
          <w:color w:val="auto"/>
        </w:rPr>
        <w:t xml:space="preserve"> Myriad </w:t>
      </w:r>
      <w:r>
        <w:rPr>
          <w:rFonts w:ascii="Times New Roman" w:cs="Times New Roman" w:eastAsia="Times New Roman" w:hAnsi="Times New Roman"/>
          <w:sz w:val="20"/>
          <w:szCs w:val="20"/>
          <w:color w:val="auto"/>
        </w:rPr>
        <w:t>ruling to natural products and principles including all naturally occurring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molecules. In addition, the USPTO continues to provide updates to its guidance continues to be a developing area. The USPTO guidance may make it impossible for us to obtain similar patent claims in future patent applications. Currently, our patent portfolio contains claims of various types and scope, including methods of medical treatment. The presence of varying types of claims in our patent portfolio significantly reduces, but may not eliminate, our exposure to potential validity challenges.</w:t>
      </w:r>
    </w:p>
    <w:p>
      <w:pPr>
        <w:spacing w:after="0" w:line="199"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On May 10, 2024, the USPTO issued a proposed rule to change terminal disclaimer practice to add a new requirement for terminal disclaimers filed to obviate (overcome) nonstatutory double patenting. Under the proposed rule, to overcome double patenting a patentee would need to agree that a patent with a terminal disclaimer will be enforceable only if the patent is not tied and has never been tied through one or more terminal disclaimers to a patent in which any claim has been finally held unpatentable or invalid over prior art. If this proposed rule becomes a final rule, it could significantly limit our patent rights and the ability to enforce them.</w:t>
      </w:r>
    </w:p>
    <w:p>
      <w:pPr>
        <w:spacing w:after="0" w:line="20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For our U.S. patent applications, which contain claims entitled to priority after March 16, 2013, there is a greater level of uncertainty due to the Leahy-Smith Act. The Leahy-Smith Act includes a number of significant changes to U.S. patent law. These include provisions that affect the way patent applications will be prosecuted and may also affect patent litigation. The USPTO has promulgated regulations and developed procedures to govern administration of the Leahy-Smith Act, and many of the substantive changes to patent law associated with the Leahy-Smith Act, and in particular, the first to file provisions, did not come into effect until March 16,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growth prospects.</w:t>
      </w:r>
    </w:p>
    <w:p>
      <w:pPr>
        <w:spacing w:after="0" w:line="201"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20"/>
          <w:szCs w:val="20"/>
          <w:color w:val="auto"/>
        </w:rPr>
        <w:t>An important change introduced by the Leahy-Smith Act is that, as of March 16, 2013, the United States transitioned to a “first-to-file” system for deciding which party should be granted a patent when two or more patent applications are filed by different parties claiming the same invention.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we cannot be certain that we were the first to either: (i) file any patent application related to verekitug or any other potential future product candidates or (ii) invent any of the inventions claimed in our patents or patent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440"/>
          </w:cols>
          <w:pgMar w:left="900" w:top="929" w:right="900" w:bottom="371" w:gutter="0" w:footer="0" w:header="0"/>
        </w:sectPr>
      </w:pPr>
    </w:p>
    <w:bookmarkStart w:id="98" w:name="page99"/>
    <w:bookmarkEnd w:id="98"/>
    <w:p>
      <w:pPr>
        <w:spacing w:after="0" w:line="244" w:lineRule="auto"/>
        <w:rPr>
          <w:sz w:val="20"/>
          <w:szCs w:val="20"/>
          <w:color w:val="auto"/>
        </w:rPr>
      </w:pPr>
      <w:r>
        <w:rPr>
          <w:rFonts w:ascii="Times New Roman" w:cs="Times New Roman" w:eastAsia="Times New Roman" w:hAnsi="Times New Roman"/>
          <w:sz w:val="20"/>
          <w:szCs w:val="20"/>
          <w:color w:val="auto"/>
        </w:rPr>
        <w:t>Among some of the other changes introduced by the Leahy-Smith Act are changes that limit where a patentee may file a patent infringement suit and new procedures providing opportunities for third parties to challenge any issued patent in the USPTO. Included in these new procedures is a process known as Inter Partes Review (“IPR”), which has been generally used by many third parties since the enactment of the Leahy-Smith Act to invalidate patents.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Additionally, the rights of review and appeal for IPR decisions is an area of law that is still developing.</w:t>
      </w:r>
    </w:p>
    <w:p>
      <w:pPr>
        <w:spacing w:after="0" w:line="20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Geopolitical actions in the United States and in foreign countries could increase the uncertainties and costs surrounding the prosecution or maintenance of patent applications and the maintenance, enforcement or defense of issued patents.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its inventions in Russia or from selling or importing products made using its inventions in and into Russia. Accordingly, our competitive position may be impaired, and our business, financial condition, results of operations and growth prospects may be adversely affected.</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In addition, a European Unified Patent Court (“UPC”) came into force on June 1, 2023. The UPC will be a common patent court to hear patent infringement and revocation proceedings effective for member states of the European Union. This could enable third parties to seek revocation of a European patent in a single proceeding at the UPC rather than through multiple proceedings in each of the jurisdictions in which the European patent is validated. Although we do not currently own any European patents,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our business and competitive position could be harmed.</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In addition to seeking patents for our technologies and verekitug or any other potential future product candidates, we also rely on trade secret protection, as well as confidentiality agreements, non-disclosure agreements and assignment agreements with our employees, consultants and third parties, to protect our know-how and other confidential and proprietary information, especially where we do not believe patent protection is appropriate or obtainable.</w:t>
      </w:r>
    </w:p>
    <w:p>
      <w:pPr>
        <w:spacing w:after="0" w:line="19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It is our policy to require our employees, corporate collaborators, outside scientific collaborators, CROs, contract manufacturers, consultants, advisors, and other third parties to execute confidentiality agreements upon the commencement of employment or consulting relationships with us. These agreements generally provide that all confidential information concerning our business or financial affairs developed by or made known to an individual or entity during the course of that party’s relationship with us are to be kept confidential and not disclosed to third parties, except in certain specified circumstances. In the case of employees, the agreements also provide that all inventions conceived by the individual, and that are related to our current or planned business or research and development or made during normal working hours, on our premises or using our equipment or proprietary information, are our exclusive property. In the case of consultants and other third-party service providers, the agreements provide us with certain rights to all inventions arising from the services provided to us by those individuals or entities. However, we cannot guarantee that we have entered into such agreements with each party that may have or have had access to our trade secrets or proprietary technologies and processes. Additionally, the assignment of intellectual property rights may not be self-executing, or assignment agreements may be breached, and we may be forced to bring claims against third parties, or defend claims that they may bring against us, to determine the ownership of what we regard as our intellectual property. We may not be able to obtain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420"/>
          </w:cols>
          <w:pgMar w:left="900" w:top="929" w:right="920" w:bottom="371" w:gutter="0" w:footer="0" w:header="0"/>
        </w:sectPr>
      </w:pPr>
    </w:p>
    <w:bookmarkStart w:id="99" w:name="page100"/>
    <w:bookmarkEnd w:id="99"/>
    <w:p>
      <w:pPr>
        <w:ind w:right="840"/>
        <w:spacing w:after="0" w:line="278" w:lineRule="auto"/>
        <w:rPr>
          <w:sz w:val="20"/>
          <w:szCs w:val="20"/>
          <w:color w:val="auto"/>
        </w:rPr>
      </w:pPr>
      <w:r>
        <w:rPr>
          <w:rFonts w:ascii="Times New Roman" w:cs="Times New Roman" w:eastAsia="Times New Roman" w:hAnsi="Times New Roman"/>
          <w:sz w:val="20"/>
          <w:szCs w:val="20"/>
          <w:color w:val="auto"/>
        </w:rPr>
        <w:t>adequate remedies for any breaches of such agreements. Ultimately, enforcing a claim that a party illegally disclosed or misappropriated a trade secret can be difficult, expensive, and time consuming, and the outcome is unpredictable.</w:t>
      </w:r>
    </w:p>
    <w:p>
      <w:pPr>
        <w:spacing w:after="0" w:line="1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In addition to contractual measures, we protect the confidential nature of our proprietary information through other appropriate precautions, such as physical and technological security measures. However, trade secrets and know-how can be difficult to protect despite these precautions.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In addition, our trade secrets may be independently developed by others in a manner that could prevent us from receiving legal recourse. If any of our confidential or proprietary information, such as our trade secrets, were to be disclosed or misappropriated, or if any of that information was independently developed by a competitor, our competitive position could be harmed.</w:t>
      </w:r>
    </w:p>
    <w:p>
      <w:pPr>
        <w:spacing w:after="0" w:line="204" w:lineRule="exact"/>
        <w:rPr>
          <w:sz w:val="20"/>
          <w:szCs w:val="20"/>
          <w:color w:val="auto"/>
        </w:rPr>
      </w:pPr>
    </w:p>
    <w:p>
      <w:pPr>
        <w:ind w:right="240"/>
        <w:spacing w:after="0" w:line="249" w:lineRule="auto"/>
        <w:rPr>
          <w:sz w:val="20"/>
          <w:szCs w:val="20"/>
          <w:color w:val="auto"/>
        </w:rPr>
      </w:pPr>
      <w:r>
        <w:rPr>
          <w:rFonts w:ascii="Times New Roman" w:cs="Times New Roman" w:eastAsia="Times New Roman" w:hAnsi="Times New Roman"/>
          <w:sz w:val="20"/>
          <w:szCs w:val="20"/>
          <w:color w:val="auto"/>
        </w:rPr>
        <w:t>If we choose to go to court to stop a third party from using any of our trade secrets, we may incur substantial costs. In addition, courts inside and outside the United States are sometimes less willing or unwilling to protect trade secrets. Even if we are successful, these types of lawsuits may consume, in addition to substantial costs, significant amounts of our time and other resources. Any of the foregoing could have a material adverse effect on our business, financial condition, results of operations and growth prospects.</w:t>
      </w:r>
    </w:p>
    <w:p>
      <w:pPr>
        <w:spacing w:after="0" w:line="318" w:lineRule="exact"/>
        <w:rPr>
          <w:sz w:val="20"/>
          <w:szCs w:val="20"/>
          <w:color w:val="auto"/>
        </w:rPr>
      </w:pPr>
    </w:p>
    <w:p>
      <w:pPr>
        <w:ind w:right="8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Third parties may assert that our employees, consultants, or advisors have wrongfully used or disclosed confidential information or misappropriated trade secrets.</w:t>
      </w:r>
    </w:p>
    <w:p>
      <w:pPr>
        <w:spacing w:after="0" w:line="4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As is common in the biotechnology and pharmaceutical industries, we employ individuals that are currently or were previously employed at universities, research institutions or other biotechnology or pharmaceutical companies, including our competitors or potential competitors. Although we employ measures to ensure that our employees, consultants, and advisors do not use the proprietary information or know-how of others in their work for us, we may be subject to claims that we or these individuals have inadvertently or otherwise used or disclosed intellectual property, including trade secrets or other proprietary information, of any such individual’s current or former employer. We may then be directly or indirectly involved in litigation proceedings to defend against these claims. If we fail in defending against any such claims, in addition to potentially paying monetary damages, we may lose valuable intellectual property rights and/or personnel. Even if we are successful in defending against such claims, litigation could result in substantial costs and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trademarks we may obtain may be infringed or successfully challenged, resulting in harm to our business.</w:t>
      </w:r>
    </w:p>
    <w:p>
      <w:pPr>
        <w:spacing w:after="0" w:line="119"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We expect to rely on trademarks as one means to distinguish verekitug or any other potential future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benefit from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allegations of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results of operations and growth prospects.</w:t>
      </w:r>
    </w:p>
    <w:p>
      <w:pPr>
        <w:spacing w:after="0" w:line="20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In addition, any proprietary name we propose to use with verekitug or any other potential future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420"/>
          </w:cols>
          <w:pgMar w:left="900" w:top="929" w:right="920" w:bottom="371"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12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it to maintain our competitive advantage. For example:</w:t>
      </w:r>
    </w:p>
    <w:p>
      <w:pPr>
        <w:spacing w:after="0" w:line="48" w:lineRule="exact"/>
        <w:rPr>
          <w:sz w:val="20"/>
          <w:szCs w:val="20"/>
          <w:color w:val="auto"/>
        </w:rPr>
      </w:pPr>
    </w:p>
    <w:p>
      <w:pPr>
        <w:ind w:left="500" w:right="16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verekitug or any other potential future product candidates, if approved, may eventually become commercially available in generic or biosimilar product forms;</w:t>
      </w:r>
    </w:p>
    <w:p>
      <w:pPr>
        <w:spacing w:after="0" w:line="48" w:lineRule="exact"/>
        <w:rPr>
          <w:rFonts w:ascii="Arial" w:cs="Arial" w:eastAsia="Arial" w:hAnsi="Arial"/>
          <w:sz w:val="20"/>
          <w:szCs w:val="20"/>
          <w:color w:val="auto"/>
        </w:rPr>
      </w:pPr>
    </w:p>
    <w:p>
      <w:pPr>
        <w:ind w:left="500" w:right="42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be able to make similar antibodies to verekitug or any other potential future product candidates that are not covered by the claims of the patents that we license or may own in the future;</w:t>
      </w:r>
    </w:p>
    <w:p>
      <w:pPr>
        <w:spacing w:after="0" w:line="48" w:lineRule="exact"/>
        <w:rPr>
          <w:rFonts w:ascii="Arial" w:cs="Arial" w:eastAsia="Arial" w:hAnsi="Arial"/>
          <w:sz w:val="20"/>
          <w:szCs w:val="20"/>
          <w:color w:val="auto"/>
        </w:rPr>
      </w:pPr>
    </w:p>
    <w:p>
      <w:pPr>
        <w:ind w:left="500" w:hanging="493"/>
        <w:spacing w:after="0" w:line="258"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or current or future licensors or collaborators, might not have been the first to make the inventions covered by the issued patent or pending patent application that we license or may own in the future, potentially resulting in the invalidation of such patents or refusal of such applications;</w:t>
      </w:r>
    </w:p>
    <w:p>
      <w:pPr>
        <w:spacing w:after="0" w:line="67" w:lineRule="exact"/>
        <w:rPr>
          <w:rFonts w:ascii="Arial" w:cs="Arial" w:eastAsia="Arial" w:hAnsi="Arial"/>
          <w:sz w:val="20"/>
          <w:szCs w:val="20"/>
          <w:color w:val="auto"/>
        </w:rPr>
      </w:pPr>
    </w:p>
    <w:p>
      <w:pPr>
        <w:ind w:left="500" w:right="16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or current or future licensors or collaborators, might not have been the first to file patent applications covering certain of our or their inventions;</w:t>
      </w:r>
    </w:p>
    <w:p>
      <w:pPr>
        <w:spacing w:after="0" w:line="48" w:lineRule="exact"/>
        <w:rPr>
          <w:rFonts w:ascii="Arial" w:cs="Arial" w:eastAsia="Arial" w:hAnsi="Arial"/>
          <w:sz w:val="20"/>
          <w:szCs w:val="20"/>
          <w:color w:val="auto"/>
        </w:rPr>
      </w:pPr>
    </w:p>
    <w:p>
      <w:pPr>
        <w:jc w:val="both"/>
        <w:ind w:left="500" w:right="40" w:hanging="493"/>
        <w:spacing w:after="0" w:line="259"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or current or future licensors or collaborators, may fail to meet our obligations to the U.S. government regarding any in licensed patents and patent applications funded by U.S. government grants, leading to the loss or unenforceability of patent rights;</w:t>
      </w:r>
    </w:p>
    <w:p>
      <w:pPr>
        <w:spacing w:after="0" w:line="65" w:lineRule="exact"/>
        <w:rPr>
          <w:rFonts w:ascii="Arial" w:cs="Arial" w:eastAsia="Arial" w:hAnsi="Arial"/>
          <w:sz w:val="20"/>
          <w:szCs w:val="20"/>
          <w:color w:val="auto"/>
        </w:rPr>
      </w:pPr>
    </w:p>
    <w:p>
      <w:pPr>
        <w:ind w:left="500" w:right="78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on our owned or licensed intellectual property rights;</w:t>
      </w:r>
    </w:p>
    <w:p>
      <w:pPr>
        <w:spacing w:after="0" w:line="48" w:lineRule="exact"/>
        <w:rPr>
          <w:rFonts w:ascii="Arial" w:cs="Arial" w:eastAsia="Arial" w:hAnsi="Arial"/>
          <w:sz w:val="20"/>
          <w:szCs w:val="20"/>
          <w:color w:val="auto"/>
        </w:rPr>
      </w:pPr>
    </w:p>
    <w:p>
      <w:pPr>
        <w:ind w:left="500" w:right="22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pending patent applications or those that we may own or license in the future will not lead to issued patents;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there are prior public disclosures that could invalidate our patents;</w:t>
      </w:r>
    </w:p>
    <w:p>
      <w:pPr>
        <w:spacing w:after="0" w:line="120" w:lineRule="exact"/>
        <w:rPr>
          <w:rFonts w:ascii="Arial" w:cs="Arial" w:eastAsia="Arial" w:hAnsi="Arial"/>
          <w:sz w:val="20"/>
          <w:szCs w:val="20"/>
          <w:color w:val="auto"/>
        </w:rPr>
      </w:pPr>
    </w:p>
    <w:p>
      <w:pPr>
        <w:ind w:left="500" w:right="8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there are unpublished patent applications that may later issue with claims covering verekitug or any other potential future product candidates or technology similar to ours;</w:t>
      </w:r>
    </w:p>
    <w:p>
      <w:pPr>
        <w:spacing w:after="0" w:line="48" w:lineRule="exact"/>
        <w:rPr>
          <w:rFonts w:ascii="Arial" w:cs="Arial" w:eastAsia="Arial" w:hAnsi="Arial"/>
          <w:sz w:val="20"/>
          <w:szCs w:val="20"/>
          <w:color w:val="auto"/>
        </w:rPr>
      </w:pPr>
    </w:p>
    <w:p>
      <w:pPr>
        <w:ind w:left="500" w:right="340" w:hanging="493"/>
        <w:spacing w:after="0" w:line="258"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it is possible that our patents or patent applications omit individual(s) that should be listed as inventor(s) or include individual(s) that should not be listed as inventor(s), which may cause these patents or patents issuing from these patent applications to be held invalid or unenforceable or result in a change in ownership;</w:t>
      </w:r>
    </w:p>
    <w:p>
      <w:pPr>
        <w:spacing w:after="0" w:line="67" w:lineRule="exact"/>
        <w:rPr>
          <w:rFonts w:ascii="Arial" w:cs="Arial" w:eastAsia="Arial" w:hAnsi="Arial"/>
          <w:sz w:val="20"/>
          <w:szCs w:val="20"/>
          <w:color w:val="auto"/>
        </w:rPr>
      </w:pPr>
    </w:p>
    <w:p>
      <w:pPr>
        <w:ind w:left="500" w:right="28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issued patents to which we hold rights may be held invalid, unenforceable, or narrowed in scope, including as a result of legal challenges by our competitors;</w:t>
      </w:r>
    </w:p>
    <w:p>
      <w:pPr>
        <w:spacing w:after="0" w:line="48" w:lineRule="exact"/>
        <w:rPr>
          <w:rFonts w:ascii="Arial" w:cs="Arial" w:eastAsia="Arial" w:hAnsi="Arial"/>
          <w:sz w:val="20"/>
          <w:szCs w:val="20"/>
          <w:color w:val="auto"/>
        </w:rPr>
      </w:pPr>
    </w:p>
    <w:p>
      <w:pPr>
        <w:ind w:left="500" w:right="200" w:hanging="493"/>
        <w:spacing w:after="0" w:line="259"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claims of our issued patents or patent applications, if and when issued, may not cover verekitug or any other potential future product candidates or narrowly cover them in such a way that competitors may be able to design around to avoid infringement allegations;</w:t>
      </w:r>
    </w:p>
    <w:p>
      <w:pPr>
        <w:spacing w:after="0" w:line="65" w:lineRule="exact"/>
        <w:rPr>
          <w:rFonts w:ascii="Arial" w:cs="Arial" w:eastAsia="Arial" w:hAnsi="Arial"/>
          <w:sz w:val="20"/>
          <w:szCs w:val="20"/>
          <w:color w:val="auto"/>
        </w:rPr>
      </w:pPr>
    </w:p>
    <w:p>
      <w:pPr>
        <w:ind w:left="500" w:right="4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laws of foreign countries may not protect our proprietary rights or the proprietary rights of current or future licensors or collaborators to the same extent as the laws of the United States;</w:t>
      </w:r>
    </w:p>
    <w:p>
      <w:pPr>
        <w:spacing w:after="0" w:line="48" w:lineRule="exact"/>
        <w:rPr>
          <w:rFonts w:ascii="Arial" w:cs="Arial" w:eastAsia="Arial" w:hAnsi="Arial"/>
          <w:sz w:val="20"/>
          <w:szCs w:val="20"/>
          <w:color w:val="auto"/>
        </w:rPr>
      </w:pPr>
    </w:p>
    <w:p>
      <w:pPr>
        <w:ind w:left="500" w:right="220" w:hanging="493"/>
        <w:spacing w:after="0" w:line="259"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inventors of our patents or patent applications may become involved with competitors, develop products or processes that design around our patents, or become hostile to it or the patents or patent applications on which they are named as inventors;</w:t>
      </w:r>
    </w:p>
    <w:p>
      <w:pPr>
        <w:spacing w:after="0" w:line="65" w:lineRule="exact"/>
        <w:rPr>
          <w:rFonts w:ascii="Arial" w:cs="Arial" w:eastAsia="Arial" w:hAnsi="Arial"/>
          <w:sz w:val="20"/>
          <w:szCs w:val="20"/>
          <w:color w:val="auto"/>
        </w:rPr>
      </w:pPr>
    </w:p>
    <w:p>
      <w:pPr>
        <w:jc w:val="both"/>
        <w:ind w:left="500" w:right="360" w:hanging="493"/>
        <w:spacing w:after="0" w:line="258"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Arial" w:cs="Arial" w:eastAsia="Arial" w:hAnsi="Arial"/>
          <w:sz w:val="20"/>
          <w:szCs w:val="20"/>
          <w:color w:val="auto"/>
        </w:rPr>
      </w:pPr>
    </w:p>
    <w:p>
      <w:pPr>
        <w:ind w:left="500" w:right="94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have engaged in scientific collaborations in the past and we intend to continue to do so in the future, and our collaborators may develop adjacent or competing products that are outside the scope of our patents;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120" w:lineRule="exact"/>
        <w:rPr>
          <w:rFonts w:ascii="Arial" w:cs="Arial" w:eastAsia="Arial" w:hAnsi="Arial"/>
          <w:sz w:val="20"/>
          <w:szCs w:val="20"/>
          <w:color w:val="auto"/>
        </w:rPr>
      </w:pPr>
    </w:p>
    <w:p>
      <w:pPr>
        <w:ind w:left="500" w:right="56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verekitug or any other potential future product candidates we develop may be covered by third-party patents or other exclusive rights;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patents of others may prohibit or otherwise harm our business; or</w:t>
      </w:r>
    </w:p>
    <w:p>
      <w:pPr>
        <w:spacing w:after="0" w:line="119" w:lineRule="exact"/>
        <w:rPr>
          <w:rFonts w:ascii="Arial" w:cs="Arial" w:eastAsia="Arial" w:hAnsi="Arial"/>
          <w:sz w:val="20"/>
          <w:szCs w:val="20"/>
          <w:color w:val="auto"/>
        </w:rPr>
      </w:pPr>
    </w:p>
    <w:p>
      <w:pPr>
        <w:ind w:left="500" w:right="960" w:hanging="493"/>
        <w:spacing w:after="0" w:line="277" w:lineRule="auto"/>
        <w:tabs>
          <w:tab w:leader="none" w:pos="50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we may choose not to file a patent in order to maintain certain trade secrets or know-how, and a third party may subsequently commercialize the technology and/or file a patent covering such intellectual property.</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400"/>
          </w:cols>
          <w:pgMar w:left="900" w:top="929" w:right="940" w:bottom="371" w:gutter="0" w:footer="0" w:header="0"/>
        </w:sectPr>
      </w:pPr>
    </w:p>
    <w:bookmarkStart w:id="101" w:name="page102"/>
    <w:bookmarkEnd w:id="101"/>
    <w:p>
      <w:pPr>
        <w:ind w:right="580"/>
        <w:spacing w:after="0" w:line="278"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growth prospects.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common stock may not be sustained.</w:t>
      </w:r>
    </w:p>
    <w:p>
      <w:pPr>
        <w:spacing w:after="0" w:line="12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An active or liquid market in our common stock may not be sustained. The lack of an active market may impair the value of our stockholders’ shares, and our stockholders’ ability to sell their shares at the desired time and price. An inactive market may also impair our ability to raise capital by selling our common stock and our ability to acquire other companies, products, or technologies by using our common stock as consideration.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common stock may be volatile, which could result in substantial losses for our stockholders.</w:t>
      </w:r>
    </w:p>
    <w:p>
      <w:pPr>
        <w:spacing w:after="0" w:line="11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20"/>
          <w:szCs w:val="20"/>
          <w:color w:val="auto"/>
        </w:rPr>
        <w:t>The trading price of our common stock may be volatile and could be subject to wide fluctuations in response to various factors, some of which are beyond our control, including limited trading volume. In addition to the factors discussed in this section and elsewhere in this Annual Report, these factors include:</w:t>
      </w:r>
    </w:p>
    <w:p>
      <w:pPr>
        <w:spacing w:after="0" w:line="68" w:lineRule="exact"/>
        <w:rPr>
          <w:sz w:val="20"/>
          <w:szCs w:val="20"/>
          <w:color w:val="auto"/>
        </w:rPr>
      </w:pPr>
    </w:p>
    <w:p>
      <w:pPr>
        <w:ind w:left="500" w:hanging="493"/>
        <w:spacing w:after="0" w:line="277"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the commencement, enrollment, completion or results of our current or future preclinical and clinical trials for verekitug or any other potential future product candidates;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any delay in identifying and advancing a clinical candidate for our other programs;</w:t>
      </w:r>
    </w:p>
    <w:p>
      <w:pPr>
        <w:spacing w:after="0" w:line="120" w:lineRule="exact"/>
        <w:rPr>
          <w:rFonts w:ascii="Arial" w:cs="Arial" w:eastAsia="Arial" w:hAnsi="Arial"/>
          <w:sz w:val="20"/>
          <w:szCs w:val="20"/>
          <w:color w:val="auto"/>
        </w:rPr>
      </w:pPr>
    </w:p>
    <w:p>
      <w:pPr>
        <w:ind w:left="500" w:hanging="493"/>
        <w:spacing w:after="0" w:line="259"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any delay in our regulatory filings for verekitug or any other potential future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5"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results or delays, suspensions or terminations in future preclinical studies or clinical trials;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decision to initiate a clinical trial, not to initiate a clinical trial or to terminate an existing clinical trial;</w:t>
      </w:r>
    </w:p>
    <w:p>
      <w:pPr>
        <w:spacing w:after="0" w:line="119" w:lineRule="exact"/>
        <w:rPr>
          <w:rFonts w:ascii="Arial" w:cs="Arial" w:eastAsia="Arial" w:hAnsi="Arial"/>
          <w:sz w:val="20"/>
          <w:szCs w:val="20"/>
          <w:color w:val="auto"/>
        </w:rPr>
      </w:pPr>
    </w:p>
    <w:p>
      <w:pPr>
        <w:ind w:left="500" w:hanging="493"/>
        <w:spacing w:after="0" w:line="259"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regulatory decisions, including failure to receive regulatory approval of verekitug or any other potential future product candidates or the failure of a regulatory authority to accept data from preclinical studies or clinical trials conducted in other countries;</w:t>
      </w:r>
    </w:p>
    <w:p>
      <w:pPr>
        <w:spacing w:after="0" w:line="65" w:lineRule="exact"/>
        <w:rPr>
          <w:rFonts w:ascii="Arial" w:cs="Arial" w:eastAsia="Arial" w:hAnsi="Arial"/>
          <w:sz w:val="20"/>
          <w:szCs w:val="20"/>
          <w:color w:val="auto"/>
        </w:rPr>
      </w:pPr>
    </w:p>
    <w:p>
      <w:pPr>
        <w:ind w:left="500" w:right="220" w:hanging="493"/>
        <w:spacing w:after="0" w:line="277"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laws or regulations applicable to verekitug or any other potential future product candidates, including but not limited to clinical trial requirements for approvals;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adverse developments concerning our manufacturers;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obtain adequate product supply for any approved product or inability to do so at acceptable prices;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establish collaborations, if needed;</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commercialize verekitug or any other potential future product candidates, if approved;</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additions or departures of key scientific or management personnel;</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serious safety concerns related to verekitug or any other potential future product candidates;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introduction of new products or services offered by us or our competitors;</w:t>
      </w:r>
    </w:p>
    <w:p>
      <w:pPr>
        <w:spacing w:after="0" w:line="120" w:lineRule="exact"/>
        <w:rPr>
          <w:rFonts w:ascii="Arial" w:cs="Arial" w:eastAsia="Arial" w:hAnsi="Arial"/>
          <w:sz w:val="20"/>
          <w:szCs w:val="20"/>
          <w:color w:val="auto"/>
        </w:rPr>
      </w:pPr>
    </w:p>
    <w:p>
      <w:pPr>
        <w:ind w:left="500" w:right="520" w:hanging="493"/>
        <w:spacing w:after="0" w:line="277"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of significant acquisitions, strategic partnerships, joint ventures or capital commitments by us or our competitors;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effectively manage our growth;</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actual or anticipated variations in quarterly and annual operating results;</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cash position;</w:t>
      </w:r>
    </w:p>
    <w:p>
      <w:pPr>
        <w:spacing w:after="0" w:line="119" w:lineRule="exact"/>
        <w:rPr>
          <w:rFonts w:ascii="Arial" w:cs="Arial" w:eastAsia="Arial" w:hAnsi="Arial"/>
          <w:sz w:val="20"/>
          <w:szCs w:val="20"/>
          <w:color w:val="auto"/>
        </w:rPr>
      </w:pPr>
    </w:p>
    <w:p>
      <w:pPr>
        <w:ind w:left="500" w:right="360" w:hanging="493"/>
        <w:spacing w:after="0" w:line="277"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our failure to meet the estimates and projections of the investment community or that we may otherwise provide to the public;</w:t>
      </w:r>
    </w:p>
    <w:p>
      <w:pPr>
        <w:spacing w:after="0" w:line="48" w:lineRule="exact"/>
        <w:rPr>
          <w:rFonts w:ascii="Arial" w:cs="Arial" w:eastAsia="Arial" w:hAnsi="Arial"/>
          <w:sz w:val="20"/>
          <w:szCs w:val="20"/>
          <w:color w:val="auto"/>
        </w:rPr>
      </w:pPr>
    </w:p>
    <w:p>
      <w:pPr>
        <w:ind w:left="500" w:right="320" w:hanging="493"/>
        <w:spacing w:after="0" w:line="277" w:lineRule="auto"/>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publication of research reports about us or our industry, or verekitug or any other potential future product candidates in particular, or positive or negative recommendations or withdrawal of research coverage by securities analysts;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market valuations of similar companies;</w:t>
      </w: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340"/>
          </w:cols>
          <w:pgMar w:left="900" w:top="929" w:right="1000" w:bottom="371" w:gutter="0" w:footer="0" w:header="0"/>
        </w:sectPr>
      </w:pPr>
    </w:p>
    <w:bookmarkStart w:id="102" w:name="page103"/>
    <w:bookmarkEnd w:id="102"/>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the healthcare payment systems;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overall performance of the equity markets;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sales of our common stock by us or our stockholders in the future;</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accounting practices, such as the adoption of a new accounting standard;</w:t>
      </w:r>
    </w:p>
    <w:p>
      <w:pPr>
        <w:spacing w:after="0" w:line="120"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ineffectiveness of our internal controls;</w:t>
      </w:r>
    </w:p>
    <w:p>
      <w:pPr>
        <w:spacing w:after="0" w:line="119" w:lineRule="exact"/>
        <w:rPr>
          <w:rFonts w:ascii="Arial" w:cs="Arial" w:eastAsia="Arial" w:hAnsi="Arial"/>
          <w:sz w:val="20"/>
          <w:szCs w:val="20"/>
          <w:color w:val="auto"/>
        </w:rPr>
      </w:pPr>
    </w:p>
    <w:p>
      <w:pPr>
        <w:ind w:left="500" w:right="240" w:hanging="493"/>
        <w:spacing w:after="0" w:line="277" w:lineRule="auto"/>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disputes or other developments relating to proprietary rights, including patents, litigation matters and our ability to obtain patent protection for our technologies;</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lawsuits, including patent or stockholder litigation;</w:t>
      </w:r>
    </w:p>
    <w:p>
      <w:pPr>
        <w:spacing w:after="0" w:line="119" w:lineRule="exact"/>
        <w:rPr>
          <w:rFonts w:ascii="Arial" w:cs="Arial" w:eastAsia="Arial" w:hAnsi="Arial"/>
          <w:sz w:val="20"/>
          <w:szCs w:val="20"/>
          <w:color w:val="auto"/>
        </w:rPr>
      </w:pPr>
    </w:p>
    <w:p>
      <w:pPr>
        <w:ind w:left="500" w:right="20" w:hanging="493"/>
        <w:spacing w:after="0" w:line="249" w:lineRule="auto"/>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general geopolitical, industry and macroeconomic conditions such as recessions, interest rates, fuel prices, foreign currency fluctuations, tariffs (including tariffs that have been or may in the future be imposed by the United States or other countries), sanctions, trade protection measures or other trade barriers (including further legislation or actions taken by the United States or other countries that restrict trade), social, political and economic risks and military acts of war or terrorism; and</w:t>
      </w:r>
    </w:p>
    <w:p>
      <w:pPr>
        <w:spacing w:after="0" w:line="76" w:lineRule="exact"/>
        <w:rPr>
          <w:rFonts w:ascii="Arial" w:cs="Arial" w:eastAsia="Arial" w:hAnsi="Arial"/>
          <w:sz w:val="20"/>
          <w:szCs w:val="20"/>
          <w:color w:val="auto"/>
        </w:rPr>
      </w:pPr>
    </w:p>
    <w:p>
      <w:pPr>
        <w:ind w:left="500" w:hanging="493"/>
        <w:spacing w:after="0"/>
        <w:tabs>
          <w:tab w:leader="none" w:pos="50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other events or factors, many of which are beyond our control.</w:t>
      </w:r>
    </w:p>
    <w:p>
      <w:pPr>
        <w:spacing w:after="0" w:line="24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In addition, the stock market in general, and the market for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reputational harm and a diversion of management’s attention and resources.</w:t>
      </w:r>
    </w:p>
    <w:p>
      <w:pPr>
        <w:spacing w:after="0" w:line="320"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w:t>
      </w:r>
    </w:p>
    <w:p>
      <w:pPr>
        <w:spacing w:after="0" w:line="4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due to a variety of factors, many of which are outside of our control and may be difficult to predict, including:</w:t>
      </w:r>
    </w:p>
    <w:p>
      <w:pPr>
        <w:spacing w:after="0" w:line="49" w:lineRule="exact"/>
        <w:rPr>
          <w:sz w:val="20"/>
          <w:szCs w:val="20"/>
          <w:color w:val="auto"/>
        </w:rPr>
      </w:pPr>
    </w:p>
    <w:p>
      <w:pPr>
        <w:ind w:left="500" w:right="400" w:hanging="493"/>
        <w:spacing w:after="0" w:line="277" w:lineRule="auto"/>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cost of, and level of investment in, research, development and, if approved, commercialization activities relating to verekitug or any other potential future product candidates, which may change from time to time;</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status of enrollment for clinical trials;</w:t>
      </w:r>
    </w:p>
    <w:p>
      <w:pPr>
        <w:spacing w:after="0" w:line="120" w:lineRule="exact"/>
        <w:rPr>
          <w:rFonts w:ascii="Arial" w:cs="Arial" w:eastAsia="Arial" w:hAnsi="Arial"/>
          <w:sz w:val="20"/>
          <w:szCs w:val="20"/>
          <w:color w:val="auto"/>
        </w:rPr>
      </w:pPr>
    </w:p>
    <w:p>
      <w:pPr>
        <w:ind w:left="500" w:right="440" w:hanging="493"/>
        <w:spacing w:after="0" w:line="304" w:lineRule="auto"/>
        <w:tabs>
          <w:tab w:leader="none" w:pos="500" w:val="left"/>
        </w:tabs>
        <w:numPr>
          <w:ilvl w:val="0"/>
          <w:numId w:val="52"/>
        </w:numPr>
        <w:rPr>
          <w:rFonts w:ascii="Arial" w:cs="Arial" w:eastAsia="Arial" w:hAnsi="Arial"/>
          <w:sz w:val="19"/>
          <w:szCs w:val="19"/>
          <w:color w:val="auto"/>
        </w:rPr>
      </w:pPr>
      <w:r>
        <w:rPr>
          <w:rFonts w:ascii="Times New Roman" w:cs="Times New Roman" w:eastAsia="Times New Roman" w:hAnsi="Times New Roman"/>
          <w:sz w:val="19"/>
          <w:szCs w:val="19"/>
          <w:color w:val="auto"/>
        </w:rPr>
        <w:t>the cost of manufacturing verekitug or any other potential future product candidates, as well as building out our supply chain, which may vary depending on the quantity of production and the terms of our agreements with manufacturers;</w:t>
      </w:r>
    </w:p>
    <w:p>
      <w:pPr>
        <w:spacing w:after="0" w:line="26" w:lineRule="exact"/>
        <w:rPr>
          <w:rFonts w:ascii="Arial" w:cs="Arial" w:eastAsia="Arial" w:hAnsi="Arial"/>
          <w:sz w:val="19"/>
          <w:szCs w:val="19"/>
          <w:color w:val="auto"/>
        </w:rPr>
      </w:pPr>
    </w:p>
    <w:p>
      <w:pPr>
        <w:ind w:left="500" w:hanging="493"/>
        <w:spacing w:after="0"/>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expenditures that we may incur to acquire, develop or commercialize additional product candidates and technologies;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timing and amount of any milestone, royalty or other payments due under any collaboration or license agreement;</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20" w:lineRule="exact"/>
        <w:rPr>
          <w:rFonts w:ascii="Arial" w:cs="Arial" w:eastAsia="Arial" w:hAnsi="Arial"/>
          <w:sz w:val="20"/>
          <w:szCs w:val="20"/>
          <w:color w:val="auto"/>
        </w:rPr>
      </w:pPr>
    </w:p>
    <w:p>
      <w:pPr>
        <w:ind w:left="500" w:right="160" w:hanging="493"/>
        <w:spacing w:after="0" w:line="259" w:lineRule="auto"/>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success or failure of preclinical studies and clinical trials for verekitug or any other potential future product candidates or competing product candidates, or any other change in the competitive landscape of our industry, including consolidation among our competitors or partners;</w:t>
      </w:r>
    </w:p>
    <w:p>
      <w:pPr>
        <w:spacing w:after="0" w:line="65" w:lineRule="exact"/>
        <w:rPr>
          <w:rFonts w:ascii="Arial" w:cs="Arial" w:eastAsia="Arial" w:hAnsi="Arial"/>
          <w:sz w:val="20"/>
          <w:szCs w:val="20"/>
          <w:color w:val="auto"/>
        </w:rPr>
      </w:pPr>
    </w:p>
    <w:p>
      <w:pPr>
        <w:ind w:left="500" w:right="120" w:hanging="493"/>
        <w:spacing w:after="0" w:line="277" w:lineRule="auto"/>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of receipt of approvals for verekitug or any other potential future product candidates from regulatory authorities in the United States and internationally;</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exchange rate fluctuations;</w:t>
      </w:r>
    </w:p>
    <w:p>
      <w:pPr>
        <w:spacing w:after="0" w:line="119" w:lineRule="exact"/>
        <w:rPr>
          <w:rFonts w:ascii="Arial" w:cs="Arial" w:eastAsia="Arial" w:hAnsi="Arial"/>
          <w:sz w:val="20"/>
          <w:szCs w:val="20"/>
          <w:color w:val="auto"/>
        </w:rPr>
      </w:pPr>
    </w:p>
    <w:p>
      <w:pPr>
        <w:ind w:left="500" w:hanging="493"/>
        <w:spacing w:after="0" w:line="277" w:lineRule="auto"/>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coverage and reimbursement policies with respect to verekitug or any other potential future product candidates, if approved, and potential future drugs that compete with our products; and</w:t>
      </w:r>
    </w:p>
    <w:p>
      <w:pPr>
        <w:spacing w:after="0" w:line="48" w:lineRule="exact"/>
        <w:rPr>
          <w:rFonts w:ascii="Arial" w:cs="Arial" w:eastAsia="Arial" w:hAnsi="Arial"/>
          <w:sz w:val="20"/>
          <w:szCs w:val="20"/>
          <w:color w:val="auto"/>
        </w:rPr>
      </w:pPr>
    </w:p>
    <w:p>
      <w:pPr>
        <w:ind w:left="500" w:right="1020" w:hanging="493"/>
        <w:spacing w:after="0" w:line="277" w:lineRule="auto"/>
        <w:tabs>
          <w:tab w:leader="none" w:pos="500" w:val="left"/>
        </w:tabs>
        <w:numPr>
          <w:ilvl w:val="0"/>
          <w:numId w:val="52"/>
        </w:numPr>
        <w:rPr>
          <w:rFonts w:ascii="Arial" w:cs="Arial" w:eastAsia="Arial" w:hAnsi="Arial"/>
          <w:sz w:val="20"/>
          <w:szCs w:val="20"/>
          <w:color w:val="auto"/>
        </w:rPr>
      </w:pPr>
      <w:r>
        <w:rPr>
          <w:rFonts w:ascii="Times New Roman" w:cs="Times New Roman" w:eastAsia="Times New Roman" w:hAnsi="Times New Roman"/>
          <w:sz w:val="20"/>
          <w:szCs w:val="20"/>
          <w:color w:val="auto"/>
        </w:rPr>
        <w:t>the level of demand for verekitug or any other potential future product candidates, if approved, which may vary significantly over time.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440"/>
          </w:cols>
          <w:pgMar w:left="900" w:top="931" w:right="900" w:bottom="371" w:gutter="0" w:footer="0" w:header="0"/>
        </w:sectPr>
      </w:pPr>
    </w:p>
    <w:bookmarkStart w:id="103" w:name="page104"/>
    <w:bookmarkEnd w:id="103"/>
    <w:p>
      <w:pPr>
        <w:spacing w:after="0" w:line="259" w:lineRule="auto"/>
        <w:rPr>
          <w:sz w:val="20"/>
          <w:szCs w:val="20"/>
          <w:color w:val="auto"/>
        </w:rPr>
      </w:pPr>
      <w:r>
        <w:rPr>
          <w:rFonts w:ascii="Times New Roman" w:cs="Times New Roman" w:eastAsia="Times New Roman" w:hAnsi="Times New Roman"/>
          <w:sz w:val="20"/>
          <w:szCs w:val="20"/>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This variability and unpredictability could also result in our failing to meet the expectations of industry or financial analysts or investors for any period. If our future revenue or operating results fall below the expectations of analysts or investors or below any forecasts we may provide to the market, or if any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98"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continue to publish research or publish inaccurate or unfavorable research about our business, our stock price and trading volume could decline.</w:t>
      </w:r>
    </w:p>
    <w:p>
      <w:pPr>
        <w:spacing w:after="0" w:line="4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Similarly, if one or more of these analysts ceases coverage of our company or fails to publish reports on us regularly, demand for our stock could decrease, which might cause our stock price and trading volume to decline.</w:t>
      </w:r>
    </w:p>
    <w:p>
      <w:pPr>
        <w:spacing w:after="0" w:line="317"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executive officers, directors, principal stockholders and their respective affiliates own a significant percentage of our common stock and have the ability to exert significant control over matters subject to stockholder approval.</w:t>
      </w:r>
    </w:p>
    <w:p>
      <w:pPr>
        <w:spacing w:after="0" w:line="4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Our executive officers, directors, holders of 5% or more of our capital stock and their respective affiliates collectively own a significant percentage of our outstanding common stock. As a result, these stockholders, if acting together,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the interests of our other stockholders.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in the public market could cause our common stock price to fall.</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common stock price could decline as a result of sales of a large number of shares of common stock or the perception that these sales could occur, which might also make it more difficult for us to sell equity securities in the future at a time and price that we deem appropriate.</w:t>
      </w:r>
    </w:p>
    <w:p>
      <w:pPr>
        <w:spacing w:after="0" w:line="18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Additionally, certain holders of our common stock have rights, subject to some conditions, to require us to file registration statements covering the sale of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 agreements between us and such holders. We have registered the offer and sale of all shares of common stock that we may issue under our equity compensation plans, and those shares are available for sale in the open market, unless such shares are subject to vesting restrictions with us or lock-up restrictions. Once we register the offer and sale of shares for the holders of registration rights, they can be freely sold in the public market upon issuance, subject to the lock-up agreements.</w:t>
      </w:r>
    </w:p>
    <w:p>
      <w:pPr>
        <w:spacing w:after="0" w:line="20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308"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Our issuance of additional capital stock in connection with financings, acquisitions, investments, our stock incentive plans or otherwise will dilute all other stockholders.</w:t>
      </w:r>
    </w:p>
    <w:p>
      <w:pPr>
        <w:spacing w:after="0" w:line="49"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420"/>
          </w:cols>
          <w:pgMar w:left="900" w:top="929" w:right="920" w:bottom="371" w:gutter="0" w:footer="0" w:header="0"/>
        </w:sectPr>
      </w:pPr>
    </w:p>
    <w:bookmarkStart w:id="104" w:name="page105"/>
    <w:bookmarkEnd w:id="104"/>
    <w:p>
      <w:pPr>
        <w:ind w:right="280"/>
        <w:spacing w:after="0" w:line="259" w:lineRule="auto"/>
        <w:rPr>
          <w:sz w:val="20"/>
          <w:szCs w:val="20"/>
          <w:color w:val="auto"/>
        </w:rPr>
      </w:pPr>
      <w:r>
        <w:rPr>
          <w:rFonts w:ascii="Times New Roman" w:cs="Times New Roman" w:eastAsia="Times New Roman" w:hAnsi="Times New Roman"/>
          <w:sz w:val="20"/>
          <w:szCs w:val="20"/>
          <w:color w:val="auto"/>
        </w:rPr>
        <w:t>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305"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313"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p>
    <w:p>
      <w:pPr>
        <w:spacing w:after="0" w:line="68"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Our third amended and restated certificate of incorporation and our amended and restated bylaws contain provisions that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3" w:lineRule="exact"/>
        <w:rPr>
          <w:sz w:val="20"/>
          <w:szCs w:val="20"/>
          <w:color w:val="auto"/>
        </w:rPr>
      </w:pPr>
    </w:p>
    <w:p>
      <w:pPr>
        <w:ind w:left="500" w:hanging="493"/>
        <w:spacing w:after="0"/>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 classified board of directors such that only one of three classes of directors is elected each year;</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allow the authorized number of our directors to be changed only by resolution of our board of directors;</w:t>
      </w:r>
    </w:p>
    <w:p>
      <w:pPr>
        <w:spacing w:after="0" w:line="119" w:lineRule="exact"/>
        <w:rPr>
          <w:rFonts w:ascii="Arial" w:cs="Arial" w:eastAsia="Arial" w:hAnsi="Arial"/>
          <w:sz w:val="20"/>
          <w:szCs w:val="20"/>
          <w:color w:val="auto"/>
        </w:rPr>
      </w:pPr>
    </w:p>
    <w:p>
      <w:pPr>
        <w:ind w:left="500" w:hanging="493"/>
        <w:spacing w:after="0"/>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limit the manner in which stockholders can remove directors from our board of directors;</w:t>
      </w:r>
    </w:p>
    <w:p>
      <w:pPr>
        <w:spacing w:after="0" w:line="120" w:lineRule="exact"/>
        <w:rPr>
          <w:rFonts w:ascii="Arial" w:cs="Arial" w:eastAsia="Arial" w:hAnsi="Arial"/>
          <w:sz w:val="20"/>
          <w:szCs w:val="20"/>
          <w:color w:val="auto"/>
        </w:rPr>
      </w:pPr>
    </w:p>
    <w:p>
      <w:pPr>
        <w:ind w:left="500" w:right="880" w:hanging="493"/>
        <w:spacing w:after="0" w:line="277" w:lineRule="auto"/>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advance notice requirements for stockholder proposals that can be acted on at stockholder meetings and nominations to our board of directors;</w:t>
      </w:r>
    </w:p>
    <w:p>
      <w:pPr>
        <w:spacing w:after="0" w:line="48" w:lineRule="exact"/>
        <w:rPr>
          <w:rFonts w:ascii="Arial" w:cs="Arial" w:eastAsia="Arial" w:hAnsi="Arial"/>
          <w:sz w:val="20"/>
          <w:szCs w:val="20"/>
          <w:color w:val="auto"/>
        </w:rPr>
      </w:pPr>
    </w:p>
    <w:p>
      <w:pPr>
        <w:ind w:left="500" w:right="880" w:hanging="493"/>
        <w:spacing w:after="0" w:line="277" w:lineRule="auto"/>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require that stockholder actions must be effected at a duly called stockholder meeting and prohibit actions by our stockholders by written consent;</w:t>
      </w:r>
    </w:p>
    <w:p>
      <w:pPr>
        <w:spacing w:after="0" w:line="48" w:lineRule="exact"/>
        <w:rPr>
          <w:rFonts w:ascii="Arial" w:cs="Arial" w:eastAsia="Arial" w:hAnsi="Arial"/>
          <w:sz w:val="20"/>
          <w:szCs w:val="20"/>
          <w:color w:val="auto"/>
        </w:rPr>
      </w:pPr>
    </w:p>
    <w:p>
      <w:pPr>
        <w:ind w:left="500" w:hanging="493"/>
        <w:spacing w:after="0"/>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limit who may call stockholder meetings;</w:t>
      </w:r>
    </w:p>
    <w:p>
      <w:pPr>
        <w:spacing w:after="0" w:line="119" w:lineRule="exact"/>
        <w:rPr>
          <w:rFonts w:ascii="Arial" w:cs="Arial" w:eastAsia="Arial" w:hAnsi="Arial"/>
          <w:sz w:val="20"/>
          <w:szCs w:val="20"/>
          <w:color w:val="auto"/>
        </w:rPr>
      </w:pPr>
    </w:p>
    <w:p>
      <w:pPr>
        <w:ind w:left="500" w:right="300" w:hanging="493"/>
        <w:spacing w:after="0" w:line="259" w:lineRule="auto"/>
        <w:tabs>
          <w:tab w:leader="none" w:pos="500" w:val="left"/>
        </w:tabs>
        <w:numPr>
          <w:ilvl w:val="0"/>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65" w:lineRule="exact"/>
        <w:rPr>
          <w:rFonts w:ascii="Arial" w:cs="Arial" w:eastAsia="Arial" w:hAnsi="Arial"/>
          <w:sz w:val="20"/>
          <w:szCs w:val="20"/>
          <w:color w:val="auto"/>
        </w:rPr>
      </w:pPr>
    </w:p>
    <w:p>
      <w:pPr>
        <w:jc w:val="both"/>
        <w:ind w:left="500" w:right="180" w:hanging="493"/>
        <w:spacing w:after="0" w:line="304" w:lineRule="auto"/>
        <w:tabs>
          <w:tab w:leader="none" w:pos="500" w:val="left"/>
        </w:tabs>
        <w:numPr>
          <w:ilvl w:val="0"/>
          <w:numId w:val="53"/>
        </w:numPr>
        <w:rPr>
          <w:rFonts w:ascii="Arial" w:cs="Arial" w:eastAsia="Arial" w:hAnsi="Arial"/>
          <w:sz w:val="19"/>
          <w:szCs w:val="19"/>
          <w:color w:val="auto"/>
        </w:rPr>
      </w:pPr>
      <w:r>
        <w:rPr>
          <w:rFonts w:ascii="Times New Roman" w:cs="Times New Roman" w:eastAsia="Times New Roman" w:hAnsi="Times New Roman"/>
          <w:sz w:val="19"/>
          <w:szCs w:val="19"/>
          <w:color w:val="auto"/>
        </w:rPr>
        <w:t>require the approval of not less than two-thirds of the votes that all our stockholders would be entitled to cast to amend or repeal specified provisions of our third amended and restated certificate of incorporation or amended and restated bylaws.</w:t>
      </w:r>
    </w:p>
    <w:p>
      <w:pPr>
        <w:spacing w:after="0" w:line="146"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color w:val="auto"/>
        </w:rPr>
        <w:t>Moreover, because we are incorporated in Delaware, we are governed by the provisions of Section 203 of the Delaware General Corporation Law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1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second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6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Our second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or a claim based on, fiduciary duty owed by any of our current or former directors, officers, and employees to us or our stockholders, (iii) any action asserting a claim arising pursuant to any provision of the Delaware General Corporation Law, our third amended and restated certificate of incorporation or our second amended and restated bylaws (including the interpretation, validity or enforceability thereof), or (iv) any action asserting a claim that is governed by the internal affairs doctrine (the “Delaware Forum Provision”). The Delaware Forum</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10420"/>
          </w:cols>
          <w:pgMar w:left="900" w:top="929" w:right="920" w:bottom="371" w:gutter="0" w:footer="0" w:header="0"/>
        </w:sectPr>
      </w:pPr>
    </w:p>
    <w:bookmarkStart w:id="105" w:name="page106"/>
    <w:bookmarkEnd w:id="105"/>
    <w:p>
      <w:pPr>
        <w:ind w:right="60"/>
        <w:spacing w:after="0" w:line="246" w:lineRule="auto"/>
        <w:rPr>
          <w:sz w:val="20"/>
          <w:szCs w:val="20"/>
          <w:color w:val="auto"/>
        </w:rPr>
      </w:pPr>
      <w:r>
        <w:rPr>
          <w:rFonts w:ascii="Times New Roman" w:cs="Times New Roman" w:eastAsia="Times New Roman" w:hAnsi="Times New Roman"/>
          <w:sz w:val="20"/>
          <w:szCs w:val="20"/>
          <w:color w:val="auto"/>
        </w:rPr>
        <w:t>Provision does not apply to any causes of action arising under the Securities Act or the Exchange Act. Our second amended and restated bylaws further provide that, unless we consent in writing to the selection of an alternative forum, the federal district courts of the United States shall be the sole and exclusive forum for resolving any complaint asserting a cause or causes of action arising under the Securities Act or the Exchange Act (the “Federal Forum Provision”). In addition, our second amended and restated bylaws provide that any person or entity purchasing or otherwise acquiring any interest in shares of our common stock is deemed to have notice of and consented to the foregoing provisions; provided, however, that stockholders cannot and will not be deemed to have waived our compliance with the federal securities laws and the rules and regulations thereunder.</w:t>
      </w:r>
    </w:p>
    <w:p>
      <w:pPr>
        <w:spacing w:after="0" w:line="20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and others state courts have upheld the validity of federal forum selection provisions purporting to require claims under the Securities Act or the Exchange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continue to satisfy the listing requirements of Nasdaq.</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must meet certain financial and liquidity criteria to maintain the listing of our common stock on Nasdaq.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our stockholders’ investment.</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general risks</w:t>
      </w:r>
    </w:p>
    <w:p>
      <w:pPr>
        <w:spacing w:after="0" w:line="235"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and market volatility resulting from geopolitical conditions, including those affecting the financial services industry, could adversely affect our business, financial condition, stock price,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10420"/>
          </w:cols>
          <w:pgMar w:left="900" w:top="929" w:right="920" w:bottom="371" w:gutter="0" w:footer="0" w:header="0"/>
        </w:sectPr>
      </w:pPr>
    </w:p>
    <w:bookmarkStart w:id="106" w:name="page107"/>
    <w:bookmarkEnd w:id="106"/>
    <w:p>
      <w:pPr>
        <w:ind w:right="20"/>
        <w:spacing w:after="0" w:line="241" w:lineRule="auto"/>
        <w:rPr>
          <w:sz w:val="20"/>
          <w:szCs w:val="20"/>
          <w:color w:val="auto"/>
        </w:rPr>
      </w:pPr>
      <w:r>
        <w:rPr>
          <w:rFonts w:ascii="Times New Roman" w:cs="Times New Roman" w:eastAsia="Times New Roman" w:hAnsi="Times New Roman"/>
          <w:sz w:val="20"/>
          <w:szCs w:val="20"/>
          <w:color w:val="auto"/>
        </w:rPr>
        <w:t>Our business could be adversely affected by unstable economic and political conditions within the United States and foreign jurisdictions, including as a result of an economic downturn and geopolitical events, such as changes in or disruptions of U.S. governmental agencies, whether from a prolonged U.S. federal government shutdown or reduced resources, disruptions in capital markets, the potential for significant changes in U.S. federal policies or regulatory environment that affect the geopolitical landscape. Changes to U.S. policy implemented by the U.S. Congress or U.S. presidential administrations have impacted and may in the future impact, among other things, the U.S. and global economy, international trade relations, unemployment, immigration, healthcare, taxation, the U.S. regulatory environment, inflation and other areas. Since the start of the most recent U.S. presidential administration in 2025, U.S. policy changes have been implemented at a rapid pace and additional changes are likely. For example, the implementation of tariffs by the U.S. government has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Additionally, in September 2025, the current administration also announced a 100% tariff on brand-name or patented drugs unless pharmaceutical companies expand their manufacturing operations in the U.S., and may impose more restrictions on goods. Although the pharmaceutical tariff is currently on hold, this could have a material adverse effect on our supply chain and business prospects as well as the larger biopharmaceutical industry. While certain tariffs have subsequently been suspended, modified or temporarily reduced, we cannot predict the results of the U.S. government’s trade negotiations or the outcome of ongoing legal challenges to specific tariff policies.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3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Additionally, severe or prolonged economic downturn or additional global financial crises could result in a variety of risks to our business, including weakened demand for any product candidates we develop or our ability to raise additional capital when needed on acceptable terms, if at all. For example, on October 1, 2025, the U.S. federal government shut down through November 12, 2025, suspending services deemed non-essential as a result of the failure by Congress to enact regular appropriations for the 2026 fiscal year. If we experience another prolonged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84"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global credit and financial markets have also generally experienced extreme volatility and disruptions (including as a result of actual or perceived changes in interest rates, inflation and macroeconomic uncertainties), which has 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military conflict, including the ongoing conflicts between Russia and Ukraine, and Israel and Hamas, terrorism, or other geopolitical events. Sanctions imposed by the United States and other countries in response to such conflicts, including the one in Ukraine,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A severe or prolonged economic downturn could result in a variety of risks to our business, including a decrease in the demand for verekitug or any other potential future product candidates and in our ability to raise additional capital when needed on acceptable terms, if at all.</w:t>
      </w:r>
    </w:p>
    <w:p>
      <w:pPr>
        <w:spacing w:after="0" w:line="20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19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We maintain the majority of our cash and cash equivalents in accounts with major U.S. and multi-national financial institutions, and our deposits at certain of these institutions may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10440"/>
          </w:cols>
          <w:pgMar w:left="900" w:top="929" w:right="900" w:bottom="371" w:gutter="0" w:footer="0" w:header="0"/>
        </w:sectPr>
      </w:pPr>
    </w:p>
    <w:bookmarkStart w:id="107" w:name="page108"/>
    <w:bookmarkEnd w:id="107"/>
    <w:p>
      <w:pPr>
        <w:ind w:right="60"/>
        <w:spacing w:after="0" w:line="278" w:lineRule="auto"/>
        <w:rPr>
          <w:sz w:val="20"/>
          <w:szCs w:val="20"/>
          <w:color w:val="auto"/>
        </w:rPr>
      </w:pPr>
      <w:r>
        <w:rPr>
          <w:rFonts w:ascii="Times New Roman" w:cs="Times New Roman" w:eastAsia="Times New Roman" w:hAnsi="Times New Roman"/>
          <w:sz w:val="20"/>
          <w:szCs w:val="20"/>
          <w:color w:val="auto"/>
        </w:rPr>
        <w:t>consequently, the impact of such changes on our business and results of operations is difficult to predict and may have an adverse effect on us.</w:t>
      </w:r>
    </w:p>
    <w:p>
      <w:pPr>
        <w:spacing w:after="0" w:line="168"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6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Natural disasters or public health crises could severely disrupt our operations, and have a material adverse impact on our business, financial condition, results of operations and growth prospects. If a natural disaster, power outage, public health crisis or other event occurred that prevented us from conducting our clinical trials, releasing clinical trial results or delaying our ability to obtain regulatory approval for verekitug or any other potential future product candidates, it may be difficult or, in certain cases, impossible for us to continue our business for a substantial period of time.</w:t>
      </w:r>
    </w:p>
    <w:p>
      <w:pPr>
        <w:spacing w:after="0" w:line="317"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0"/>
          <w:szCs w:val="20"/>
          <w:b w:val="1"/>
          <w:bCs w:val="1"/>
          <w:i w:val="1"/>
          <w:iCs w:val="1"/>
          <w:color w:val="auto"/>
        </w:rPr>
        <w:t>We are eligible to be treated as an “emerging growth company” and a “smaller reporting company” and our election of reduced reporting requirements applicable to emerging growth companies and smaller reporting companies may make our common stock less attractive to investors.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are an “emerging growth company” as defined in the Jumpstart Our Business Startups Act (“JOBS Act”). For as long as we continue to be an emerging growth company, we may take advantage of exemptions from various reporting requirements that are applicable to other public companies that are not emerging growth companies, including:</w:t>
      </w:r>
    </w:p>
    <w:p>
      <w:pPr>
        <w:spacing w:after="0" w:line="68" w:lineRule="exact"/>
        <w:rPr>
          <w:sz w:val="20"/>
          <w:szCs w:val="20"/>
          <w:color w:val="auto"/>
        </w:rPr>
      </w:pPr>
    </w:p>
    <w:p>
      <w:pPr>
        <w:ind w:left="500" w:right="120" w:hanging="493"/>
        <w:spacing w:after="0" w:line="277" w:lineRule="auto"/>
        <w:tabs>
          <w:tab w:leader="none" w:pos="5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reduced disclosure obligations regarding executive compensation in our periodic reports, proxy statements and registration statements;</w:t>
      </w:r>
    </w:p>
    <w:p>
      <w:pPr>
        <w:spacing w:after="0" w:line="48" w:lineRule="exact"/>
        <w:rPr>
          <w:rFonts w:ascii="Arial" w:cs="Arial" w:eastAsia="Arial" w:hAnsi="Arial"/>
          <w:sz w:val="20"/>
          <w:szCs w:val="20"/>
          <w:color w:val="auto"/>
        </w:rPr>
      </w:pPr>
    </w:p>
    <w:p>
      <w:pPr>
        <w:ind w:left="500" w:right="540" w:hanging="493"/>
        <w:spacing w:after="0" w:line="277" w:lineRule="auto"/>
        <w:tabs>
          <w:tab w:leader="none" w:pos="5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exemptions from the requirements of holding a nonbinding advisory vote on executive compensation and stockholder approval of any golden parachute payments not previously approved;</w:t>
      </w:r>
    </w:p>
    <w:p>
      <w:pPr>
        <w:spacing w:after="0" w:line="48" w:lineRule="exact"/>
        <w:rPr>
          <w:rFonts w:ascii="Arial" w:cs="Arial" w:eastAsia="Arial" w:hAnsi="Arial"/>
          <w:sz w:val="20"/>
          <w:szCs w:val="20"/>
          <w:color w:val="auto"/>
        </w:rPr>
      </w:pPr>
    </w:p>
    <w:p>
      <w:pPr>
        <w:ind w:left="500" w:right="320" w:hanging="493"/>
        <w:spacing w:after="0" w:line="277" w:lineRule="auto"/>
        <w:tabs>
          <w:tab w:leader="none" w:pos="5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an exemption from compliance with the auditor attestation requirements of Section 404 in the assessment of our internal control over financial reporting; and</w:t>
      </w:r>
    </w:p>
    <w:p>
      <w:pPr>
        <w:spacing w:after="0" w:line="48" w:lineRule="exact"/>
        <w:rPr>
          <w:rFonts w:ascii="Arial" w:cs="Arial" w:eastAsia="Arial" w:hAnsi="Arial"/>
          <w:sz w:val="20"/>
          <w:szCs w:val="20"/>
          <w:color w:val="auto"/>
        </w:rPr>
      </w:pPr>
    </w:p>
    <w:p>
      <w:pPr>
        <w:ind w:left="500" w:right="280" w:hanging="493"/>
        <w:spacing w:after="0" w:line="277" w:lineRule="auto"/>
        <w:tabs>
          <w:tab w:leader="none" w:pos="50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an exemption from compliance with the requirements of the Public Company Accounting Oversight Board regarding the communication of critical audit matters in the auditor’s report on the financial statements.</w:t>
      </w:r>
    </w:p>
    <w:p>
      <w:pPr>
        <w:spacing w:after="0" w:line="16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 of $1.235 billion; (ii) December 31, 2029; (iii) the date on which we have issued more than $1.0 billion in non-convertible debt during any three-year period before that time; or (iv) the date on which we are deemed to be a “large accelerated filer”, which would occur if the aggregate market value of our equity securities held by non-affiliates exceeds $700.0 million as of the last business day of our most recently completed second fiscal quarter. For so long as we remain an emerging growth company, we are permitted and intend to rely on exemptions from certain disclosure requirements that are applicable to other public companies that are not emerging growth companies.</w:t>
      </w:r>
    </w:p>
    <w:p>
      <w:pPr>
        <w:spacing w:after="0" w:line="20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addition, the JOBS Act provides that an emerging growth company can also take advantage of an extended transition period for complying with new or revised accounting standards until such time as those standards apply to private companies. We have elected to avail ourselves of this exemption from new or revised accounting standards, and therefore we are not subject to the same requirements to adopt new or revised accounting standards as other public companies that are not emerging growth companies.</w:t>
      </w:r>
    </w:p>
    <w:p>
      <w:pPr>
        <w:spacing w:after="0" w:line="19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Even after we no longer qualify as an emerging growth company, we could still qualify as a “smaller reporting company,” which would allow us to take advantage of many of the same exemptions from disclosure requirements and reduced disclosure obligations regarding executive compensation in our periodic reports, proxy statements and registration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32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incur significant costs as a result of operating as a public company, and our management is required to devote substantial time to new compliance initiatives and corporate governance practices.</w:t>
      </w:r>
    </w:p>
    <w:p>
      <w:pPr>
        <w:spacing w:after="0" w:line="47"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As a public company, we incur significant legal, accounting and other expenses. We are subject to the reporting requirements of the Exchange Act, which require, among other things, that we file with the SEC annual, quarterly and current reports with respect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10440"/>
          </w:cols>
          <w:pgMar w:left="900" w:top="929" w:right="900" w:bottom="371" w:gutter="0" w:footer="0" w:header="0"/>
        </w:sectPr>
      </w:pPr>
    </w:p>
    <w:bookmarkStart w:id="108" w:name="page109"/>
    <w:bookmarkEnd w:id="108"/>
    <w:p>
      <w:pPr>
        <w:spacing w:after="0" w:line="243" w:lineRule="auto"/>
        <w:rPr>
          <w:sz w:val="20"/>
          <w:szCs w:val="20"/>
          <w:color w:val="auto"/>
        </w:rPr>
      </w:pPr>
      <w:r>
        <w:rPr>
          <w:rFonts w:ascii="Times New Roman" w:cs="Times New Roman" w:eastAsia="Times New Roman" w:hAnsi="Times New Roman"/>
          <w:sz w:val="20"/>
          <w:szCs w:val="20"/>
          <w:color w:val="auto"/>
        </w:rPr>
        <w:t>to our business and financial condition. In addition, the Sarbanes-Oxley Act of 2002, as amended (the “Sarbanes-Oxley Act”), as well as rules subsequently adopted by the SEC and The Nasdaq Global Select Market to implement provisions of the Sarbanes-Oxley Act, impose significant requirements, including requiring establishment and maintenance of effective disclosure and financial reporting controls and changes in corporate 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lasting up to five years after completion of a company’s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rules and regulations applicable to public companies have substantially increased, and will continue to increase, our legal and financial compliance costs and to make some activities more time-consuming and costly. If these requirements divert the attention of our management and personnel from other business concerns, they could have an adverse effect on our business. These increased costs will continue to decrease our net income or increase our net loss, and may require us to reduce costs in other areas of our business or increase the prices of our products or services. For example, these rules and regulations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326"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We have begun the process of documenting, reviewing and improving our internal controls and procedures for compliance with Section 404 of the Sarbanes-Oxley Act, which requires an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5"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20"/>
          <w:szCs w:val="20"/>
          <w:color w:val="auto"/>
        </w:rPr>
        <w:t>We are required to disclose changes made in our internal controls and procedures on a quarterly basis and our management is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the completion of our IPO.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11" w:lineRule="exact"/>
        <w:rPr>
          <w:sz w:val="20"/>
          <w:szCs w:val="20"/>
          <w:color w:val="auto"/>
        </w:rPr>
      </w:pPr>
    </w:p>
    <w:p>
      <w:pPr>
        <w:ind w:right="220"/>
        <w:spacing w:after="0" w:line="235" w:lineRule="auto"/>
        <w:rPr>
          <w:sz w:val="20"/>
          <w:szCs w:val="20"/>
          <w:color w:val="auto"/>
        </w:rPr>
      </w:pPr>
      <w:r>
        <w:rPr>
          <w:rFonts w:ascii="Times New Roman" w:cs="Times New Roman" w:eastAsia="Times New Roman" w:hAnsi="Times New Roman"/>
          <w:sz w:val="20"/>
          <w:szCs w:val="20"/>
          <w:color w:val="auto"/>
        </w:rPr>
        <w:t>We are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10420"/>
          </w:cols>
          <w:pgMar w:left="900" w:top="929" w:right="920" w:bottom="371" w:gutter="0" w:footer="0" w:header="0"/>
        </w:sectPr>
      </w:pPr>
    </w:p>
    <w:bookmarkStart w:id="109" w:name="page110"/>
    <w:bookmarkEnd w:id="109"/>
    <w:p>
      <w:pPr>
        <w:ind w:right="60"/>
        <w:spacing w:after="0" w:line="249" w:lineRule="auto"/>
        <w:rPr>
          <w:sz w:val="20"/>
          <w:szCs w:val="20"/>
          <w:color w:val="auto"/>
        </w:rPr>
      </w:pPr>
      <w:r>
        <w:rPr>
          <w:rFonts w:ascii="Times New Roman" w:cs="Times New Roman" w:eastAsia="Times New Roman" w:hAnsi="Times New Roman"/>
          <w:sz w:val="20"/>
          <w:szCs w:val="20"/>
          <w:color w:val="auto"/>
        </w:rPr>
        <w:t>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net operating loss carryforwards and other tax attributes may be limited.</w:t>
      </w:r>
    </w:p>
    <w:p>
      <w:pPr>
        <w:spacing w:after="0" w:line="111"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20"/>
          <w:szCs w:val="20"/>
          <w:color w:val="auto"/>
        </w:rPr>
        <w:t>As of December 31, 2025, we had federal and state net operating loss (“NOLs”) carryforwards of $66.9 million and $92.9 million, respectively. The federal NOLs are not subject to expiration and are limited in utilization to 80% of our taxable income and the state NOLs begin to expire in 2041. As of December 31, 2025, we had federal and state research and development credits of $5.7 million and $1.2 million, respectively, which will, if not utilized, begin to expire in 2043 and 2037, respectively. Our ability to utilize these NOLs to offset future tax liabilities depends on the successful development of our product candidates and future financial performance.</w:t>
      </w:r>
    </w:p>
    <w:p>
      <w:pPr>
        <w:spacing w:after="0" w:line="200" w:lineRule="exact"/>
        <w:rPr>
          <w:sz w:val="20"/>
          <w:szCs w:val="20"/>
          <w:color w:val="auto"/>
        </w:rPr>
      </w:pPr>
    </w:p>
    <w:p>
      <w:pPr>
        <w:ind w:right="160"/>
        <w:spacing w:after="0" w:line="233" w:lineRule="auto"/>
        <w:rPr>
          <w:sz w:val="20"/>
          <w:szCs w:val="20"/>
          <w:color w:val="auto"/>
        </w:rPr>
      </w:pPr>
      <w:r>
        <w:rPr>
          <w:rFonts w:ascii="Times New Roman" w:cs="Times New Roman" w:eastAsia="Times New Roman" w:hAnsi="Times New Roman"/>
          <w:sz w:val="20"/>
          <w:szCs w:val="20"/>
          <w:color w:val="auto"/>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in the future.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could adversely affect our business and financial condition.</w:t>
      </w:r>
    </w:p>
    <w:p>
      <w:pPr>
        <w:spacing w:after="0" w:line="111"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20"/>
          <w:szCs w:val="20"/>
          <w:color w:val="auto"/>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including with respect to net operating losses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32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securities class action litigation that could divert management’s attention and harm our business, and insurance coverage may not be sufficient to cover all costs and damages.</w:t>
      </w:r>
    </w:p>
    <w:p>
      <w:pPr>
        <w:spacing w:after="0" w:line="49"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20"/>
          <w:szCs w:val="20"/>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10440"/>
          </w:cols>
          <w:pgMar w:left="900" w:top="921" w:right="900" w:bottom="371"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Cyber Risk Management and Strategy</w:t>
      </w:r>
    </w:p>
    <w:p>
      <w:pPr>
        <w:spacing w:after="0" w:line="23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have adopted processes for assessing, identifying, and managing cybersecurity risks, that are integrated into our overall enterprise management framework, built into our information technology function and are designed to help protect our information assets and operations from internal and external cybersecurity threats, protect employee and clinical trial information from unauthorized access or attack, as well as secure our networks and systems. Such processes include physical, procedural, and technical safeguards, and periodic review of our procedures in an effort to identify risks and refine our practices. To support our internal resources, we leverage external tools and resources, including a managed service provider that provides ongoing support for the protection of our information technology infrastructure.</w:t>
      </w:r>
    </w:p>
    <w:p>
      <w:pPr>
        <w:spacing w:after="0" w:line="18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have an employee security awareness program, required upon onboarding and on an annual basis thereafter, that is designed to raise awareness of cybersecurity threats across functions. As part of this employee training program, we periodically conduct phishing tests. We have also implemented a process to assess and review the cybersecurity practices of certain third-party vendors and service providers that may be critical to the operations of our business and who have access to our information systems including, as appropriate, through the inclusion of cybersecurity requirements in our contracts.</w:t>
      </w:r>
    </w:p>
    <w:p>
      <w:pPr>
        <w:spacing w:after="0" w:line="18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We have not identified any cybersecurity incidents or threats that have materially affected us or are reasonably likely to materially affect us, including our business strategy, results of operations or financial condition; however, like other companies in our industry, we and our third-party vendors may, from time to time, experience threats and security incidents relating to our and our third-party vendors’ information systems. For more information, see “</w:t>
      </w:r>
      <w:r>
        <w:rPr>
          <w:rFonts w:ascii="Times New Roman" w:cs="Times New Roman" w:eastAsia="Times New Roman" w:hAnsi="Times New Roman"/>
          <w:sz w:val="20"/>
          <w:szCs w:val="20"/>
          <w:i w:val="1"/>
          <w:iCs w:val="1"/>
          <w:color w:val="auto"/>
        </w:rPr>
        <w:t>Risk Factors–Risks related to our dependence on third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parties–Our information technology systems, or those used by our CROs or other contractors or consultants, may fail or suffer security breaches, which could adversely affect our business.</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 Related to Cybersecurity Risks</w:t>
      </w:r>
    </w:p>
    <w:p>
      <w:pPr>
        <w:spacing w:after="0" w:line="23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Our audit committee of the board of directors, (the “Audit Committee”), is responsible for overseeing cybersecurity risk, pursuant to the Audit Committee charter, and periodically updates our board of directors on such matters. The Audit Committee receives periodic updates from management regarding cybersecurity matters, and we have a process for the Audit Committee to be notified between such updates in the event of any significant new cybersecurity threats or incidents.</w:t>
      </w:r>
    </w:p>
    <w:p>
      <w:pPr>
        <w:spacing w:after="0" w:line="18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Management is responsible for the operational oversight of company-wide cybersecurity strategy, policy, and standards across relevant departments to assess and help prepare us to address cybersecurity risks. Our Senior Manager of Information Technology reports to our Chief Financial and Operating Officer and oversees the day-to-day implementation and management of our cybersecurity program. Our Senior Manager of Information Technology has approximately 20 years of experience in information technology and regularly reports to executive management, the company’s disclosure committee, and the Audit Committee on cyber matters, as appropriate.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Our corporate headquarters is presently located in Waltham, Massachusetts, where we lease and occupy 16,801 square feet of office space. The initial term of the lease expires on November 1, 2027, with an option to extend the lease for an additional three years thereafter.</w:t>
      </w:r>
    </w:p>
    <w:p>
      <w:pPr>
        <w:spacing w:after="0" w:line="108" w:lineRule="exact"/>
        <w:rPr>
          <w:sz w:val="20"/>
          <w:szCs w:val="20"/>
          <w:color w:val="auto"/>
        </w:rPr>
      </w:pPr>
    </w:p>
    <w:p>
      <w:pPr>
        <w:jc w:val="both"/>
        <w:ind w:right="280"/>
        <w:spacing w:after="0" w:line="259" w:lineRule="auto"/>
        <w:rPr>
          <w:sz w:val="20"/>
          <w:szCs w:val="20"/>
          <w:color w:val="auto"/>
        </w:rPr>
      </w:pPr>
      <w:r>
        <w:rPr>
          <w:rFonts w:ascii="Times New Roman" w:cs="Times New Roman" w:eastAsia="Times New Roman" w:hAnsi="Times New Roman"/>
          <w:sz w:val="20"/>
          <w:szCs w:val="20"/>
          <w:color w:val="auto"/>
        </w:rPr>
        <w:t>We believe that our leased premises will be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10440"/>
          </w:cols>
          <w:pgMar w:left="900" w:top="925" w:right="900" w:bottom="371"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ind w:right="4520"/>
        <w:spacing w:after="0"/>
        <w:rPr>
          <w:sz w:val="20"/>
          <w:szCs w:val="20"/>
          <w:color w:val="auto"/>
        </w:rPr>
      </w:pPr>
      <w:r>
        <w:rPr>
          <w:rFonts w:ascii="Times New Roman" w:cs="Times New Roman" w:eastAsia="Times New Roman" w:hAnsi="Times New Roman"/>
          <w:sz w:val="20"/>
          <w:szCs w:val="20"/>
          <w:color w:val="auto"/>
        </w:rPr>
        <w:t>107</w:t>
      </w:r>
    </w:p>
    <w:p>
      <w:pPr>
        <w:sectPr>
          <w:pgSz w:w="12240" w:h="15840" w:orient="portrait"/>
          <w:cols w:equalWidth="0" w:num="1">
            <w:col w:w="9900"/>
          </w:cols>
          <w:pgMar w:left="900" w:top="925" w:right="1440" w:bottom="371"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60" w:lineRule="exact"/>
        <w:rPr>
          <w:sz w:val="20"/>
          <w:szCs w:val="20"/>
          <w:color w:val="auto"/>
        </w:rPr>
      </w:pPr>
    </w:p>
    <w:p>
      <w:pPr>
        <w:ind w:right="60"/>
        <w:spacing w:after="0" w:line="482"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Our common stock has traded on the Nasdaq Global Select Market under the symbol “UPB” since October 11, 2024. Prior to that date, there was no public trading market for our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As of March 20, 2026, we had three holders of record of our common stock. The actual number of stockholders is greater than the number of record holders, and includes stockholders who are beneficial owners, but whose shares are held in street name by brokers and other nominees. The number of holders of record also does not include stockholders whose shares may be held in trust by other entities.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3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We have never declared or paid cash dividends on our capital stock. We do not intend to pay cash dividends to our stockholders in the foreseeable future. We currently intend to retain all available funds and any future earnings to fund the growth and development of our business. Any future determination to declare dividends will be made at the discretion of our board of directors and will depend on then-existing conditions, including our financial condition, operating results, contractual restrictions, capital requirements, general business conditions and other factors that our board of directors may deem relevant.</w:t>
      </w:r>
    </w:p>
    <w:p>
      <w:pPr>
        <w:spacing w:after="0" w:line="187"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20"/>
          <w:szCs w:val="20"/>
          <w:color w:val="auto"/>
        </w:rPr>
        <w:t>In addition, our ability to pay cash dividends on our capital stock in the future may be limited by the terms of any future debt or preferred securities we issue or any credit facilities we enter into.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3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20"/>
          <w:szCs w:val="20"/>
          <w:color w:val="auto"/>
        </w:rPr>
        <w:t>Information about our equity compensation plans is incorporated by reference herein to Part III, Item 12 of this Annual Report on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Equity Securities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Proceeds</w:t>
      </w:r>
    </w:p>
    <w:p>
      <w:pPr>
        <w:spacing w:after="0" w:line="234"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color w:val="auto"/>
        </w:rPr>
        <w:t>On October 10, 2024, our Registration Statement on Form S-1 (No. 333-282197) for our initial public offering (“IPO”) was declared effective by the Securities and Exchange Commission (the “SEC”).</w:t>
      </w:r>
    </w:p>
    <w:p>
      <w:pPr>
        <w:spacing w:after="0" w:line="15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20"/>
          <w:szCs w:val="20"/>
          <w:color w:val="auto"/>
        </w:rPr>
        <w:t>There has been no material change in the planned use of proceeds from our IPO as described in our final prospectus filed with the SEC pursuant to Rule 424(b)(4) under the Securities Act on October 11, 2024 (File No. 333-282197).</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did not purchase any of our registered equity securities during the period covered by this Annual Report on Form 10-K.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108</w:t>
      </w:r>
    </w:p>
    <w:p>
      <w:pPr>
        <w:sectPr>
          <w:pgSz w:w="12240" w:h="15840" w:orient="portrait"/>
          <w:cols w:equalWidth="0" w:num="1">
            <w:col w:w="10420"/>
          </w:cols>
          <w:pgMar w:left="900" w:top="925" w:right="920" w:bottom="371"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37"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on Form 10-K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You should review "Item 1A, Risk Factors" of this Annual Report for a discussion of important factors that could cause actual results to differ materially from the results described in or implied by the forward-looking statements contained in the following discussion and analysis. Please also see the section titled “Special note regarding forward-looking statements” included elsewhere in this Annual Report.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31"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20"/>
          <w:szCs w:val="20"/>
          <w:color w:val="auto"/>
        </w:rPr>
        <w:t>We are a clinical-stage biotechnology company developing treatments for inflammatory diseases, with an initial focus on severe respiratory disorders. We are developing verekitug, the only known antagonist currently in clinical development that targets the receptor for Thymic Stromal Lymphopoietin (“TSLP”), a cytokine which is a clinically validated driver of inflammatory response positioned upstream of multiple signaling cascades that affect a variety of immune mediated diseases. Preclinical and clinical data to date demonstrate verekitug’s highly potent inhibition of the TSLP receptor, which we believe will translate to a differentiated product profile, including improved clinical outcomes, substantially extended dosing intervals and the potential to treat a broad spectrum of patients. We have advanced this highly potent monoclonal antibody into separate Phase 2 trials for the treatment of severe asthma, including a long-term safety and efficacy extension study (“Phase 2 LTE”), chronic rhinosinusitis with nasal polyps (“CRSwNP”), and chronic obstructive pulmonary disease (“COPD”). We reported positive top-line results in our CRSwNP Phase 2 trial in September 2025 and positive top-line results in our severe asthma Phase 2 trial in February 2026. We initiated our Phase 2 COPD trial in July 2025. We plan to initiate dosing in Phase 3 trials in both severe asthma and CRSwNP in the first quarter of 2027, prioritizing a Phase 3 development strategy that focuses on maximizing efficacy in both indications, without biomarker restriction, with quarterly at-home administration. Our experienced team is committed to maximizing verekitug’s unique attributes to address the substantial unmet needs for patients underserved by today’s standard of care.</w:t>
      </w:r>
    </w:p>
    <w:p>
      <w:pPr>
        <w:spacing w:after="0" w:line="21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Since our inception, we have devoted substantially all of our resources to organizing and staffing our company, business planning, raising capital, establishing licensing, building our proprietary platform technologies, developing verekitug, establishing our intellectual property portfolio, conducting research, preclinical studies, and clinical trials, establishing arrangements with third parties for the manufacture of verekitug and related raw materials, and providing general and administrative support for these operations. To date, we have financed our operations primarily through the issuance and sale of our redeemable convertible preferred stock and proceeds from our initial public offering (“IPO”). As of December 31, 2025, we have received total gross proceeds of $400.0 million from the issuance and sale of our redeemable convertible preferred stock. In October 2024, we completed our IPO in which we issued and sold 17,250,000 shares of our common stock, including 2,250,000 shares pursuant to the full exercise of the underwriters’ option to purchase additional shares, at a price to the public of $17.00 per share. As a result of the IPO, we received $268.8 million in net proceeds, after deducting $20.5 million in underwriting discounts and commissions, and $3.9 million in other offering costs.</w:t>
      </w:r>
    </w:p>
    <w:p>
      <w:pPr>
        <w:spacing w:after="0" w:line="20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We have incurred significant net operating losses and negative cash flows since our inception. Our ability to generate product revenue sufficient to achieve profitability, if ever, will depend on the successful development, regulatory approval and eventual commercialization of verekitug and any other potential future product candidates, which we expect will take a number of years. For the years ended December 31, 2025 and 2024, we reported net losses of $143.4 million and $62.8 million, respectively. Our net losses have resulted principally from costs incurred in our research and development activities. As of December 31, 2025, we had an accumulated deficit of $334.2 million, and we had cash, cash equivalents and short-term investments of $341.5 million. Based on our current operating plan, we believe that our existing cash and cash equivalents and short-term investments will be sufficient to fund our operating expenses and capital expenditure requirements through 2027.</w:t>
      </w:r>
    </w:p>
    <w:p>
      <w:pPr>
        <w:spacing w:after="0" w:line="201"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color w:val="auto"/>
        </w:rPr>
        <w:t>We expect to continue to incur significant net operating losses for the foreseeable future. We anticipate that our expenses will increase substantially if, and as we:</w:t>
      </w:r>
    </w:p>
    <w:p>
      <w:pPr>
        <w:spacing w:after="0" w:line="61" w:lineRule="exact"/>
        <w:rPr>
          <w:sz w:val="20"/>
          <w:szCs w:val="20"/>
          <w:color w:val="auto"/>
        </w:rPr>
      </w:pPr>
    </w:p>
    <w:p>
      <w:pPr>
        <w:ind w:left="980" w:right="380" w:hanging="484"/>
        <w:spacing w:after="0" w:line="262" w:lineRule="auto"/>
        <w:tabs>
          <w:tab w:leader="none" w:pos="98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continue to conduct our ongoing clinical trials of verekitug, including our global Phase 2 clinical trials, as well as initiate and complete additional clinical trials of verekitug in new indications or patient populations;</w:t>
      </w:r>
    </w:p>
    <w:p>
      <w:pPr>
        <w:spacing w:after="0" w:line="75" w:lineRule="exact"/>
        <w:rPr>
          <w:rFonts w:ascii="Symbol" w:cs="Symbol" w:eastAsia="Symbol" w:hAnsi="Symbol"/>
          <w:sz w:val="20"/>
          <w:szCs w:val="20"/>
          <w:color w:val="auto"/>
        </w:rPr>
      </w:pPr>
    </w:p>
    <w:p>
      <w:pPr>
        <w:ind w:left="980" w:hanging="484"/>
        <w:spacing w:after="0"/>
        <w:tabs>
          <w:tab w:leader="none" w:pos="98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conduct larger-scale clinical trials for verekitug or any potential future product candidates;</w:t>
      </w:r>
    </w:p>
    <w:p>
      <w:pPr>
        <w:spacing w:after="0" w:line="119" w:lineRule="exact"/>
        <w:rPr>
          <w:rFonts w:ascii="Symbol" w:cs="Symbol" w:eastAsia="Symbol" w:hAnsi="Symbol"/>
          <w:sz w:val="20"/>
          <w:szCs w:val="20"/>
          <w:color w:val="auto"/>
        </w:rPr>
      </w:pPr>
    </w:p>
    <w:p>
      <w:pPr>
        <w:ind w:left="980" w:hanging="484"/>
        <w:spacing w:after="0"/>
        <w:tabs>
          <w:tab w:leader="none" w:pos="980" w:val="left"/>
        </w:tabs>
        <w:numPr>
          <w:ilvl w:val="0"/>
          <w:numId w:val="55"/>
        </w:numPr>
        <w:rPr>
          <w:rFonts w:ascii="Symbol" w:cs="Symbol" w:eastAsia="Symbol" w:hAnsi="Symbol"/>
          <w:sz w:val="20"/>
          <w:szCs w:val="20"/>
          <w:color w:val="auto"/>
        </w:rPr>
      </w:pPr>
      <w:r>
        <w:rPr>
          <w:rFonts w:ascii="Times New Roman" w:cs="Times New Roman" w:eastAsia="Times New Roman" w:hAnsi="Times New Roman"/>
          <w:sz w:val="20"/>
          <w:szCs w:val="20"/>
          <w:color w:val="auto"/>
        </w:rPr>
        <w:t>manufacture, or have manufactured, clinical and commercial supplies of verekitug;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109</w:t>
      </w:r>
    </w:p>
    <w:p>
      <w:pPr>
        <w:sectPr>
          <w:pgSz w:w="12240" w:h="15840" w:orient="portrait"/>
          <w:cols w:equalWidth="0" w:num="1">
            <w:col w:w="10440"/>
          </w:cols>
          <w:pgMar w:left="900" w:top="925" w:right="900" w:bottom="371" w:gutter="0" w:footer="0" w:header="0"/>
        </w:sectPr>
      </w:pPr>
    </w:p>
    <w:bookmarkStart w:id="114" w:name="page115"/>
    <w:bookmarkEnd w:id="114"/>
    <w:p>
      <w:pPr>
        <w:ind w:left="980" w:right="40" w:hanging="484"/>
        <w:spacing w:after="0" w:line="262" w:lineRule="auto"/>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seek regulatory approvals, prepare for and, if approved, proceed to commercialization for verekitug in current or new indications or any potential future product candidates;</w:t>
      </w:r>
    </w:p>
    <w:p>
      <w:pPr>
        <w:spacing w:after="0" w:line="76" w:lineRule="exact"/>
        <w:rPr>
          <w:rFonts w:ascii="Symbol" w:cs="Symbol" w:eastAsia="Symbol" w:hAnsi="Symbol"/>
          <w:sz w:val="20"/>
          <w:szCs w:val="20"/>
          <w:color w:val="auto"/>
        </w:rPr>
      </w:pPr>
    </w:p>
    <w:p>
      <w:pPr>
        <w:ind w:left="980" w:hanging="484"/>
        <w:spacing w:after="0"/>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attract, hire and retain additional clinical, scientific, and management personnel;</w:t>
      </w:r>
    </w:p>
    <w:p>
      <w:pPr>
        <w:spacing w:after="0" w:line="118" w:lineRule="exact"/>
        <w:rPr>
          <w:rFonts w:ascii="Symbol" w:cs="Symbol" w:eastAsia="Symbol" w:hAnsi="Symbol"/>
          <w:sz w:val="20"/>
          <w:szCs w:val="20"/>
          <w:color w:val="auto"/>
        </w:rPr>
      </w:pPr>
    </w:p>
    <w:p>
      <w:pPr>
        <w:ind w:left="980" w:hanging="484"/>
        <w:spacing w:after="0"/>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implement operational, financial, and management information systems;</w:t>
      </w:r>
    </w:p>
    <w:p>
      <w:pPr>
        <w:spacing w:after="0" w:line="119" w:lineRule="exact"/>
        <w:rPr>
          <w:rFonts w:ascii="Symbol" w:cs="Symbol" w:eastAsia="Symbol" w:hAnsi="Symbol"/>
          <w:sz w:val="20"/>
          <w:szCs w:val="20"/>
          <w:color w:val="auto"/>
        </w:rPr>
      </w:pPr>
    </w:p>
    <w:p>
      <w:pPr>
        <w:ind w:left="980" w:hanging="484"/>
        <w:spacing w:after="0"/>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add quality control, quality assurance, legal, compliance, and other groups to support our operations;</w:t>
      </w:r>
    </w:p>
    <w:p>
      <w:pPr>
        <w:spacing w:after="0" w:line="118" w:lineRule="exact"/>
        <w:rPr>
          <w:rFonts w:ascii="Symbol" w:cs="Symbol" w:eastAsia="Symbol" w:hAnsi="Symbol"/>
          <w:sz w:val="20"/>
          <w:szCs w:val="20"/>
          <w:color w:val="auto"/>
        </w:rPr>
      </w:pPr>
    </w:p>
    <w:p>
      <w:pPr>
        <w:ind w:left="980" w:right="540" w:hanging="484"/>
        <w:spacing w:after="0" w:line="262" w:lineRule="auto"/>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obtain, maintain, protect, expand and enforce our intellectual property portfolio, including intellectual property obtained through license agreements;</w:t>
      </w:r>
    </w:p>
    <w:p>
      <w:pPr>
        <w:spacing w:after="0" w:line="76" w:lineRule="exact"/>
        <w:rPr>
          <w:rFonts w:ascii="Symbol" w:cs="Symbol" w:eastAsia="Symbol" w:hAnsi="Symbol"/>
          <w:sz w:val="20"/>
          <w:szCs w:val="20"/>
          <w:color w:val="auto"/>
        </w:rPr>
      </w:pPr>
    </w:p>
    <w:p>
      <w:pPr>
        <w:ind w:left="980" w:right="760" w:hanging="484"/>
        <w:spacing w:after="0" w:line="261" w:lineRule="auto"/>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defend against any claims by third parties that we have infringed, misappropriated or otherwise violated any intellectual property of any such third party;</w:t>
      </w:r>
    </w:p>
    <w:p>
      <w:pPr>
        <w:spacing w:after="0" w:line="77" w:lineRule="exact"/>
        <w:rPr>
          <w:rFonts w:ascii="Symbol" w:cs="Symbol" w:eastAsia="Symbol" w:hAnsi="Symbol"/>
          <w:sz w:val="20"/>
          <w:szCs w:val="20"/>
          <w:color w:val="auto"/>
        </w:rPr>
      </w:pPr>
    </w:p>
    <w:p>
      <w:pPr>
        <w:ind w:left="980" w:hanging="484"/>
        <w:spacing w:after="0"/>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make royalty, milestone or other payments under current, and any future, license or collaboration agreements;</w:t>
      </w:r>
    </w:p>
    <w:p>
      <w:pPr>
        <w:spacing w:after="0" w:line="119" w:lineRule="exact"/>
        <w:rPr>
          <w:rFonts w:ascii="Symbol" w:cs="Symbol" w:eastAsia="Symbol" w:hAnsi="Symbol"/>
          <w:sz w:val="20"/>
          <w:szCs w:val="20"/>
          <w:color w:val="auto"/>
        </w:rPr>
      </w:pPr>
    </w:p>
    <w:p>
      <w:pPr>
        <w:ind w:left="980" w:right="860" w:hanging="484"/>
        <w:spacing w:after="0" w:line="261" w:lineRule="auto"/>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establish a sales, marketing and distribution infrastructure, either ourselves or in partnership with others, to commercialize verekitug, if approved;</w:t>
      </w:r>
    </w:p>
    <w:p>
      <w:pPr>
        <w:spacing w:after="0" w:line="77" w:lineRule="exact"/>
        <w:rPr>
          <w:rFonts w:ascii="Symbol" w:cs="Symbol" w:eastAsia="Symbol" w:hAnsi="Symbol"/>
          <w:sz w:val="20"/>
          <w:szCs w:val="20"/>
          <w:color w:val="auto"/>
        </w:rPr>
      </w:pPr>
    </w:p>
    <w:p>
      <w:pPr>
        <w:ind w:left="980" w:right="220" w:hanging="484"/>
        <w:spacing w:after="0" w:line="261" w:lineRule="auto"/>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potentially experience any delays, challenges, or other issues associated with the clinical development of verekitug and any potential future product candidates, including with respect to our regulatory strategies; and</w:t>
      </w:r>
    </w:p>
    <w:p>
      <w:pPr>
        <w:spacing w:after="0" w:line="77" w:lineRule="exact"/>
        <w:rPr>
          <w:rFonts w:ascii="Symbol" w:cs="Symbol" w:eastAsia="Symbol" w:hAnsi="Symbol"/>
          <w:sz w:val="20"/>
          <w:szCs w:val="20"/>
          <w:color w:val="auto"/>
        </w:rPr>
      </w:pPr>
    </w:p>
    <w:p>
      <w:pPr>
        <w:ind w:left="980" w:right="240" w:hanging="484"/>
        <w:spacing w:after="0" w:line="262" w:lineRule="auto"/>
        <w:tabs>
          <w:tab w:leader="none" w:pos="980" w:val="left"/>
        </w:tabs>
        <w:numPr>
          <w:ilvl w:val="0"/>
          <w:numId w:val="56"/>
        </w:numPr>
        <w:rPr>
          <w:rFonts w:ascii="Symbol" w:cs="Symbol" w:eastAsia="Symbol" w:hAnsi="Symbol"/>
          <w:sz w:val="20"/>
          <w:szCs w:val="20"/>
          <w:color w:val="auto"/>
        </w:rPr>
      </w:pPr>
      <w:r>
        <w:rPr>
          <w:rFonts w:ascii="Times New Roman" w:cs="Times New Roman" w:eastAsia="Times New Roman" w:hAnsi="Times New Roman"/>
          <w:sz w:val="20"/>
          <w:szCs w:val="20"/>
          <w:color w:val="auto"/>
        </w:rPr>
        <w:t>incur additional legal, accounting, investor relations and other general and administrative expenses associated with operating as a public company.</w:t>
      </w:r>
    </w:p>
    <w:p>
      <w:pPr>
        <w:spacing w:after="0" w:line="18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20"/>
          <w:szCs w:val="20"/>
          <w:color w:val="auto"/>
        </w:rPr>
        <w:t>Our net operating losses may fluctuate significantly from period to period, depending upon the timing of our expenditures on research and development activities. Cash used to fund operating expenses is impacted by the timing of when we pay these expenses, as reflected in the change in our accounts payable and accrued expenses and other current liabilities.</w:t>
      </w:r>
    </w:p>
    <w:p>
      <w:pPr>
        <w:spacing w:after="0" w:line="18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As a result, we will need additional financing to support our continuing operations. To date, we have funded our operations primarily with the sale of our redeemable convertible preferred stock and the proceeds from our IPO. We do not have any products approved for sale and have not generated any revenue from product sales since our inception. We do not expect to generate revenue from any product candidates that we develop until we obtain regulatory approval for one or more of such product candidates and commercialize our products or enter into collaboration arrangements with third parties. Until we can generate sufficient product revenue to finance our cash requirements, if ever, we expect to fund our operations through equity offerings or debt financings, credit or loan facilities, potentially other capital resources, or a combination of one or more of these funding sources. We may be unable to raise additional funds or enter into other agreements or arrangements when needed on favorable terms, or at all. If we fail to raise capital or enter into such agreements as and when needed, we may have to significantly delay, scale back, or discontinue the development or commercialization of verekitug and one or more potential future product candidates, which could have a material adverse effect on our business, results of operations or financial condition.</w:t>
      </w:r>
    </w:p>
    <w:p>
      <w:pPr>
        <w:spacing w:after="0" w:line="20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Because of the numerous risks and uncertainties associated with research and development of product candidates,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purchase and license agreements</w:t>
      </w:r>
    </w:p>
    <w:p>
      <w:pPr>
        <w:spacing w:after="0" w:line="11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20"/>
          <w:szCs w:val="20"/>
          <w:color w:val="auto"/>
        </w:rPr>
        <w:t>Below is a summary of the key terms for certain of our asset purchase and license agreements. For a more detailed description of these agreements, see the section titled “Business—Asset purchase and license agreements” included elsewhere in this Annual Report.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Asset purchase agreement with Astellas and related letter agreement with Astellas and Regeneron</w:t>
      </w:r>
    </w:p>
    <w:p>
      <w:pPr>
        <w:spacing w:after="0" w:line="11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In October 2021, we entered into an asset purchase agreement (the “Astellas Asset Purchase Agreement”) with Astellas Pharma, Inc. (“Astellas”). Pursuant to the Astellas Asset Purchase Agreement, we purchased from Astellas the compound designated by Astellas as ASP7266 (the “Compound,” which was subsequently renamed by us as verekitug). There are no future payments owed to Astellas under the Astellas Asset Purchase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110</w:t>
      </w:r>
    </w:p>
    <w:p>
      <w:pPr>
        <w:sectPr>
          <w:pgSz w:w="12240" w:h="15840" w:orient="portrait"/>
          <w:cols w:equalWidth="0" w:num="1">
            <w:col w:w="10400"/>
          </w:cols>
          <w:pgMar w:left="900" w:top="944" w:right="940" w:bottom="371" w:gutter="0" w:footer="0" w:header="0"/>
        </w:sectPr>
      </w:pPr>
    </w:p>
    <w:bookmarkStart w:id="115" w:name="page116"/>
    <w:bookmarkEnd w:id="115"/>
    <w:p>
      <w:pPr>
        <w:ind w:right="500"/>
        <w:spacing w:after="0" w:line="278" w:lineRule="auto"/>
        <w:rPr>
          <w:sz w:val="20"/>
          <w:szCs w:val="20"/>
          <w:color w:val="auto"/>
        </w:rPr>
      </w:pPr>
      <w:r>
        <w:rPr>
          <w:rFonts w:ascii="Times New Roman" w:cs="Times New Roman" w:eastAsia="Times New Roman" w:hAnsi="Times New Roman"/>
          <w:sz w:val="20"/>
          <w:szCs w:val="20"/>
          <w:color w:val="auto"/>
        </w:rPr>
        <w:t>In connection with the Astellas Asset Purchase Agreement, we concurrently entered into a letter agreement (the “Regeneron Letter Agreement”) with Astellas and Regeneron Pharmaceuticals, Inc. (“Regeneron”).</w:t>
      </w:r>
    </w:p>
    <w:p>
      <w:pPr>
        <w:spacing w:after="0" w:line="168"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20"/>
          <w:szCs w:val="20"/>
          <w:color w:val="auto"/>
        </w:rPr>
        <w:t>The Regeneron Letter Agreement relates to a prior Non-Exclusive License and Material Transfer Agreement (the “Terminated Regeneron License Agreement”) that Regeneron and Astellas entered into in March 2007, as amended in July 2010 and subsequently terminated in June 2018, subject to certain surviving rights and obligations of both Regeneron and Astellas. Under the Terminated Regeneron License Agreement, Astellas utilized Regeneron’s human antibody technology in its internal research programs to discover certain product candidates, including the Compound, which it sold to us under the Astellas Asset Purchase Agreement.</w:t>
      </w:r>
    </w:p>
    <w:p>
      <w:pPr>
        <w:spacing w:after="0" w:line="200"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Under the Regeneron Letter Agreement, Astellas assigned and transferred to us and we assumed and accepted certain of Astellas’ surviving rights and obligations under the Terminated Regeneron License Agreement, including Astellas’ royalty payment, reporting and indemnification obligations in connection with activities conducted by us or on our behalf with respect to the Compound. By assuming and accepting Astellas’ surviving obligations under the Terminated Regeneron License Agreement, we are required to pay Regeneron mid-single-digit percentage royalties on aggregate worldwide net sales of any product developed by or on behalf of us that contains the Compound as an ingredient or component of the materials sold (a “Royalty Product”) during the royalty term. 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 To date, we have not made any royalty payments to Regeneron under the Regeneron Letter Agreement.</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Exclusive license agreement with Maruho</w:t>
      </w:r>
    </w:p>
    <w:p>
      <w:pPr>
        <w:spacing w:after="0" w:line="11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In October 2021, we entered into a license agreement with Maruho (as amended, the “Maruho License Agreement”), under which we granted Maruho an exclusive, irrevocable, perpetual, royalty-free, sublicensable (subject to our right of first negotiation) license. Under the Maruho License Agreement, Maruho is responsible for and controls, at its sole expense, (i) the preparation, filing, prosecution, obtaining and maintaining all regulatory approvals in Japan and (ii) the promotion, marketing, sale and commercialization in Japan.</w:t>
      </w:r>
    </w:p>
    <w:p>
      <w:pPr>
        <w:spacing w:after="0" w:line="19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Pursuant to the Maruho License Agreement, we maintain our responsibility for and control the global research and development of the Maruho license product, including in Japan. We will conduct specified clinical trial activities for Japan as part of our global research and development plan. Maruho will reimburse us for the costs of these research and development activities, including the cost of drug supply. Apart from reimbursement of qualifying research and development expenses, Maruho is not obligated to make any future payments under the Maruho License Agreement.</w:t>
      </w:r>
    </w:p>
    <w:p>
      <w:pPr>
        <w:spacing w:after="0" w:line="19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During the years ended December 31, 2025 and 2024, we received payments from Maruho in the amount of $2.8 million and $1.9 million, respectively.</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License agreement with Lonza</w:t>
      </w:r>
    </w:p>
    <w:p>
      <w:pPr>
        <w:spacing w:after="0" w:line="118"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October 2021, in connection with the Astellas Asset Purchase Agreement, we entered into a license agreement with Lonza Sales AG (“Lonza”) (as amended, the “Lonza License Agreement”). Pursuant to the Lonza License Agreement, we obtained a worldwide, non-exclusive, sublicensable (subject to Lonza’s right of pre-approval with respect to any sublicense of manufacturing activities) license to certain intellectual property rights owned by Lonza. Lonza was the originator of the master cell bank for the Compound developed by Astellas. 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 -than-one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 Any royalties due under the Lonza License Agreement are payable on a country-by-country basis until ten years from the first commercial sale of the Compound in that particular country. The Lonza agreement continues for an indefinite period of time unless otherwise terminated. We have the right to terminate the Lonza License Agreement at any time by providing prior written notice to Lonza. During each of the years ended December 31, 2025 and 2024, we made an annual payment to Lonza in the amount of $0.5 million pursuant to the Lonza License Agreement. These payments are recognized as research and development expense in the consolidated statements of operations and comprehensive loss. To date, we have not made any royalty payments to Lonza under the Lonza License Agreement.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111</w:t>
      </w:r>
    </w:p>
    <w:p>
      <w:pPr>
        <w:sectPr>
          <w:pgSz w:w="12240" w:h="15840" w:orient="portrait"/>
          <w:cols w:equalWidth="0" w:num="1">
            <w:col w:w="10440"/>
          </w:cols>
          <w:pgMar w:left="900" w:top="929" w:right="900" w:bottom="371"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0"/>
          <w:szCs w:val="20"/>
          <w:b w:val="1"/>
          <w:bCs w:val="1"/>
          <w:color w:val="auto"/>
        </w:rPr>
        <w:t>Components of our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12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To date, we have not generated any revenue from product sales and do not expect to generate any revenue from product sales in the foreseeable future. All of our collaboration revenue has been derived from the Maruho License Agreement. If our development efforts for verekitug or any potential future product candidates are successful and result in regulatory approval, or if we enter into collaboration or license agreements with third parties, we may generate revenue in the future from product sales, royalties or payments from such collaboration or license agreements, or a combination of product sales and payments from such agreements.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8"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our preclinical research and clinical development of verekitug, which include:</w:t>
      </w:r>
    </w:p>
    <w:p>
      <w:pPr>
        <w:spacing w:after="0" w:line="63" w:lineRule="exact"/>
        <w:rPr>
          <w:sz w:val="20"/>
          <w:szCs w:val="20"/>
          <w:color w:val="auto"/>
        </w:rPr>
      </w:pPr>
    </w:p>
    <w:p>
      <w:pPr>
        <w:ind w:left="980" w:right="120" w:hanging="484"/>
        <w:spacing w:after="0" w:line="250" w:lineRule="auto"/>
        <w:tabs>
          <w:tab w:leader="none" w:pos="98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incurred under agreements with third parties, including contract research organizations (“CROs”), contract manufacturing organizations (“CMOs”), and investigative sites that conduct clinical trials on our behalf, and costs related to the Maruho License Agreement;</w:t>
      </w:r>
    </w:p>
    <w:p>
      <w:pPr>
        <w:spacing w:after="0" w:line="90" w:lineRule="exact"/>
        <w:rPr>
          <w:rFonts w:ascii="Symbol" w:cs="Symbol" w:eastAsia="Symbol" w:hAnsi="Symbol"/>
          <w:sz w:val="20"/>
          <w:szCs w:val="20"/>
          <w:color w:val="auto"/>
        </w:rPr>
      </w:pPr>
    </w:p>
    <w:p>
      <w:pPr>
        <w:ind w:left="980" w:right="460" w:hanging="484"/>
        <w:spacing w:after="0" w:line="262" w:lineRule="auto"/>
        <w:tabs>
          <w:tab w:leader="none" w:pos="98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salaries, benefits and other related costs, including stock-based compensation expense, for personnel engaged in research and development functions and costs related to the Maruho License Agreement;</w:t>
      </w:r>
    </w:p>
    <w:p>
      <w:pPr>
        <w:spacing w:after="0" w:line="75" w:lineRule="exact"/>
        <w:rPr>
          <w:rFonts w:ascii="Symbol" w:cs="Symbol" w:eastAsia="Symbol" w:hAnsi="Symbol"/>
          <w:sz w:val="20"/>
          <w:szCs w:val="20"/>
          <w:color w:val="auto"/>
        </w:rPr>
      </w:pPr>
    </w:p>
    <w:p>
      <w:pPr>
        <w:ind w:left="980" w:hanging="484"/>
        <w:spacing w:after="0"/>
        <w:tabs>
          <w:tab w:leader="none" w:pos="98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of outside consultants, including their fees and related travel expenses; and</w:t>
      </w:r>
    </w:p>
    <w:p>
      <w:pPr>
        <w:spacing w:after="0" w:line="119" w:lineRule="exact"/>
        <w:rPr>
          <w:rFonts w:ascii="Symbol" w:cs="Symbol" w:eastAsia="Symbol" w:hAnsi="Symbol"/>
          <w:sz w:val="20"/>
          <w:szCs w:val="20"/>
          <w:color w:val="auto"/>
        </w:rPr>
      </w:pPr>
    </w:p>
    <w:p>
      <w:pPr>
        <w:ind w:left="980" w:hanging="484"/>
        <w:spacing w:after="0"/>
        <w:tabs>
          <w:tab w:leader="none" w:pos="980" w:val="left"/>
        </w:tabs>
        <w:numPr>
          <w:ilvl w:val="0"/>
          <w:numId w:val="57"/>
        </w:numPr>
        <w:rPr>
          <w:rFonts w:ascii="Symbol" w:cs="Symbol" w:eastAsia="Symbol" w:hAnsi="Symbol"/>
          <w:sz w:val="20"/>
          <w:szCs w:val="20"/>
          <w:color w:val="auto"/>
        </w:rPr>
      </w:pPr>
      <w:r>
        <w:rPr>
          <w:rFonts w:ascii="Times New Roman" w:cs="Times New Roman" w:eastAsia="Times New Roman" w:hAnsi="Times New Roman"/>
          <w:sz w:val="20"/>
          <w:szCs w:val="20"/>
          <w:color w:val="auto"/>
        </w:rPr>
        <w:t>costs associated with license agreements to support the development of our technology.</w:t>
      </w:r>
    </w:p>
    <w:p>
      <w:pPr>
        <w:spacing w:after="0" w:line="225"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expense all research and development expenses in the periods in which they are incurred. Our direct research and development expenses are tracked on an indication-by-indication basis and consist of costs that include CROs and investigative sites that conduct clinical trials on our behalf, third party vendors that conduct research and preclinical studies on our behalf and outside consulting costs directly allocable to an indication. We do not allocate costs related to CMOs that manufacture verekitug for use in our preclinical studies and clinical trials as they are not distinguishable by indication but support all current and potential indications under our verekitug program. Additionally, we do not allocate costs for employee costs, including stock-based compensation, consulting, or other indirect costs that cannot be directly allocated to a specific indication.</w:t>
      </w:r>
    </w:p>
    <w:p>
      <w:pPr>
        <w:spacing w:after="0" w:line="19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20"/>
          <w:szCs w:val="20"/>
          <w:color w:val="auto"/>
        </w:rPr>
        <w:t>We expect that our research and development expenses will increase in the future as we advance verekitug through clinical trials and any potential future product candidates that we may develop through preclinical studies and clinical trials, in pursuit of regulatory approval. Product candidates in later stages of clinical development generally have higher development costs than those in earlier stages of clinical development, primarily due to the increased size and duration of later-stage clinical trials.</w:t>
      </w:r>
    </w:p>
    <w:p>
      <w:pPr>
        <w:spacing w:after="0" w:line="19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At this time, we cannot reasonably estimate or know the nature, timing and estimated costs of the efforts that will be necessary to complete the development of verekitug and any potential future product candidates. We are also unable to predict when, if ever, material net cash inflows will commence from sales or licensing of verekitug or any potential future product candidates. This is due to the numerous risks and uncertainties associated with drug development, including the uncertainty of:</w:t>
      </w:r>
    </w:p>
    <w:p>
      <w:pPr>
        <w:spacing w:after="0" w:line="88" w:lineRule="exact"/>
        <w:rPr>
          <w:sz w:val="20"/>
          <w:szCs w:val="20"/>
          <w:color w:val="auto"/>
        </w:rPr>
      </w:pPr>
    </w:p>
    <w:p>
      <w:pPr>
        <w:ind w:left="980" w:right="680" w:hanging="484"/>
        <w:spacing w:after="0" w:line="262" w:lineRule="auto"/>
        <w:tabs>
          <w:tab w:leader="none" w:pos="98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timing, progress, costs and results of the ongoing development of verekitug as well as for potential discovery, preclinical development and clinical trials for other potential future product candidates;</w:t>
      </w:r>
    </w:p>
    <w:p>
      <w:pPr>
        <w:spacing w:after="0" w:line="75" w:lineRule="exact"/>
        <w:rPr>
          <w:rFonts w:ascii="Symbol" w:cs="Symbol" w:eastAsia="Symbol" w:hAnsi="Symbol"/>
          <w:sz w:val="20"/>
          <w:szCs w:val="20"/>
          <w:color w:val="auto"/>
        </w:rPr>
      </w:pPr>
    </w:p>
    <w:p>
      <w:pPr>
        <w:ind w:left="980" w:hanging="484"/>
        <w:spacing w:after="0"/>
        <w:tabs>
          <w:tab w:leader="none" w:pos="98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of clinical trials required for regulatory approval of verekitug or our potential future product candidates;</w:t>
      </w:r>
    </w:p>
    <w:p>
      <w:pPr>
        <w:spacing w:after="0" w:line="119" w:lineRule="exact"/>
        <w:rPr>
          <w:rFonts w:ascii="Symbol" w:cs="Symbol" w:eastAsia="Symbol" w:hAnsi="Symbol"/>
          <w:sz w:val="20"/>
          <w:szCs w:val="20"/>
          <w:color w:val="auto"/>
        </w:rPr>
      </w:pPr>
    </w:p>
    <w:p>
      <w:pPr>
        <w:ind w:left="980" w:hanging="484"/>
        <w:spacing w:after="0"/>
        <w:tabs>
          <w:tab w:leader="none" w:pos="98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 of regulatory review of verekitug or our potential future product candidates;</w:t>
      </w:r>
    </w:p>
    <w:p>
      <w:pPr>
        <w:spacing w:after="0" w:line="119" w:lineRule="exact"/>
        <w:rPr>
          <w:rFonts w:ascii="Symbol" w:cs="Symbol" w:eastAsia="Symbol" w:hAnsi="Symbol"/>
          <w:sz w:val="20"/>
          <w:szCs w:val="20"/>
          <w:color w:val="auto"/>
        </w:rPr>
      </w:pPr>
    </w:p>
    <w:p>
      <w:pPr>
        <w:ind w:left="980" w:right="260" w:hanging="484"/>
        <w:spacing w:after="0" w:line="250" w:lineRule="auto"/>
        <w:tabs>
          <w:tab w:leader="none" w:pos="98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90" w:lineRule="exact"/>
        <w:rPr>
          <w:rFonts w:ascii="Symbol" w:cs="Symbol" w:eastAsia="Symbol" w:hAnsi="Symbol"/>
          <w:sz w:val="20"/>
          <w:szCs w:val="20"/>
          <w:color w:val="auto"/>
        </w:rPr>
      </w:pPr>
    </w:p>
    <w:p>
      <w:pPr>
        <w:ind w:left="980" w:hanging="484"/>
        <w:spacing w:after="0"/>
        <w:tabs>
          <w:tab w:leader="none" w:pos="98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 of manufacturing clinical supplies of verekitug or our potential future product candidates;</w:t>
      </w:r>
    </w:p>
    <w:p>
      <w:pPr>
        <w:spacing w:after="0" w:line="118" w:lineRule="exact"/>
        <w:rPr>
          <w:rFonts w:ascii="Symbol" w:cs="Symbol" w:eastAsia="Symbol" w:hAnsi="Symbol"/>
          <w:sz w:val="20"/>
          <w:szCs w:val="20"/>
          <w:color w:val="auto"/>
        </w:rPr>
      </w:pPr>
    </w:p>
    <w:p>
      <w:pPr>
        <w:ind w:left="980" w:hanging="484"/>
        <w:spacing w:after="0" w:line="262" w:lineRule="auto"/>
        <w:tabs>
          <w:tab w:leader="none" w:pos="980" w:val="left"/>
        </w:tabs>
        <w:numPr>
          <w:ilvl w:val="0"/>
          <w:numId w:val="58"/>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associated with hiring additional clinical, quality control, medical, scientific and other technical personnel to support the ongoing development of verekitug;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112</w:t>
      </w:r>
    </w:p>
    <w:p>
      <w:pPr>
        <w:sectPr>
          <w:pgSz w:w="12240" w:h="15840" w:orient="portrait"/>
          <w:cols w:equalWidth="0" w:num="1">
            <w:col w:w="10420"/>
          </w:cols>
          <w:pgMar w:left="900" w:top="925" w:right="920" w:bottom="371" w:gutter="0" w:footer="0" w:header="0"/>
        </w:sectPr>
      </w:pPr>
    </w:p>
    <w:bookmarkStart w:id="117" w:name="page118"/>
    <w:bookmarkEnd w:id="117"/>
    <w:p>
      <w:pPr>
        <w:ind w:left="980" w:right="420" w:hanging="484"/>
        <w:spacing w:after="0" w:line="262" w:lineRule="auto"/>
        <w:tabs>
          <w:tab w:leader="none" w:pos="98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associated with increasing our headcount as we expand our research and development organization and market development and pre-commercial planning activities;</w:t>
      </w:r>
    </w:p>
    <w:p>
      <w:pPr>
        <w:spacing w:after="0" w:line="76" w:lineRule="exact"/>
        <w:rPr>
          <w:rFonts w:ascii="Symbol" w:cs="Symbol" w:eastAsia="Symbol" w:hAnsi="Symbol"/>
          <w:sz w:val="20"/>
          <w:szCs w:val="20"/>
          <w:color w:val="auto"/>
        </w:rPr>
      </w:pPr>
    </w:p>
    <w:p>
      <w:pPr>
        <w:ind w:left="980" w:hanging="484"/>
        <w:spacing w:after="0"/>
        <w:tabs>
          <w:tab w:leader="none" w:pos="98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effectiveness of our approach to identifying target patient populations;</w:t>
      </w:r>
    </w:p>
    <w:p>
      <w:pPr>
        <w:spacing w:after="0" w:line="118" w:lineRule="exact"/>
        <w:rPr>
          <w:rFonts w:ascii="Symbol" w:cs="Symbol" w:eastAsia="Symbol" w:hAnsi="Symbol"/>
          <w:sz w:val="20"/>
          <w:szCs w:val="20"/>
          <w:color w:val="auto"/>
        </w:rPr>
      </w:pPr>
    </w:p>
    <w:p>
      <w:pPr>
        <w:jc w:val="both"/>
        <w:ind w:left="980" w:right="280" w:hanging="484"/>
        <w:spacing w:after="0" w:line="250" w:lineRule="auto"/>
        <w:tabs>
          <w:tab w:leader="none" w:pos="98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90" w:lineRule="exact"/>
        <w:rPr>
          <w:rFonts w:ascii="Symbol" w:cs="Symbol" w:eastAsia="Symbol" w:hAnsi="Symbol"/>
          <w:sz w:val="20"/>
          <w:szCs w:val="20"/>
          <w:color w:val="auto"/>
        </w:rPr>
      </w:pPr>
    </w:p>
    <w:p>
      <w:pPr>
        <w:ind w:left="980" w:hanging="484"/>
        <w:spacing w:after="0"/>
        <w:tabs>
          <w:tab w:leader="none" w:pos="98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the effect of macroeconomic trends including inflation and rising interest rates; and</w:t>
      </w:r>
    </w:p>
    <w:p>
      <w:pPr>
        <w:spacing w:after="0" w:line="119" w:lineRule="exact"/>
        <w:rPr>
          <w:rFonts w:ascii="Symbol" w:cs="Symbol" w:eastAsia="Symbol" w:hAnsi="Symbol"/>
          <w:sz w:val="20"/>
          <w:szCs w:val="20"/>
          <w:color w:val="auto"/>
        </w:rPr>
      </w:pPr>
    </w:p>
    <w:p>
      <w:pPr>
        <w:ind w:left="980" w:hanging="484"/>
        <w:spacing w:after="0"/>
        <w:tabs>
          <w:tab w:leader="none" w:pos="980" w:val="left"/>
        </w:tabs>
        <w:numPr>
          <w:ilvl w:val="0"/>
          <w:numId w:val="59"/>
        </w:numPr>
        <w:rPr>
          <w:rFonts w:ascii="Symbol" w:cs="Symbol" w:eastAsia="Symbol" w:hAnsi="Symbol"/>
          <w:sz w:val="20"/>
          <w:szCs w:val="20"/>
          <w:color w:val="auto"/>
        </w:rPr>
      </w:pPr>
      <w:r>
        <w:rPr>
          <w:rFonts w:ascii="Times New Roman" w:cs="Times New Roman" w:eastAsia="Times New Roman" w:hAnsi="Times New Roman"/>
          <w:sz w:val="20"/>
          <w:szCs w:val="20"/>
          <w:color w:val="auto"/>
        </w:rPr>
        <w:t>addressing any potential supply chain interruptions or delays.</w:t>
      </w:r>
    </w:p>
    <w:p>
      <w:pPr>
        <w:spacing w:after="0" w:line="22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color w:val="auto"/>
        </w:rPr>
        <w:t>A change in the outcome of any of these factors or underlying variables with respect to the development of a product candidate could significantly change the costs and timing associated with the development of that product candidate.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7"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benefits, including stock-based compensation expense, for personnel in executive, finance, accounting, legal, human resources, business development, information technology, and other administrative functions. General and administrative expenses also include legal fees relating to patents and corporate matters; professional fees for accounting, auditing, tax, and consulting services; insurance costs; travel expenses; and facility-related expenses, which include depreciation costs and expenses for rent and maintenance of facilities and other operating costs.</w:t>
      </w:r>
    </w:p>
    <w:p>
      <w:pPr>
        <w:spacing w:after="0" w:line="19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We expect that our general and administrative expenses will increase in the future as we increase our headcount and expand our infrastructure to support the continued research and development of our programs and the growth of our business. We also expect to incur increased expenses associated with operating as a public company, including costs of accounting, audit, legal, regulatory, tax-related services, compliance with SEC rules and regulations and listing requirements, director and officer insurance premiums and investor relations costs.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preferred stock tranche right liability</w:t>
      </w:r>
    </w:p>
    <w:p>
      <w:pPr>
        <w:spacing w:after="0" w:line="118"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connection with our Series B redeemable convertible preferred stock (“Series B Preferred Stock”) financing, we issued shares under a stock purchase agreement that provided an obligation for us to issue additional Series B Preferred Stock in subsequent closings upon the satisfaction of certain conditions. The Series B tranche right liability was settled in April 2024 upon the satisfaction of relevant conditions. We classified the preferred stock tranche right as a liability on our consolidated balance sheets and initially recorded it at fair value upon the issuance date of the right. We remeasured the tranche right liability to fair value at each reporting date and immediately prior to being settled, and recognized changes in the fair value of the preferred stock tranche right liability as a component of other income (expense) in our consolidated statements of operations and comprehensive loss. Upon settlement of the tranche right, we derecognized the related liability, and stopped recognizing changes in the fair value of the preferred stock tranche right liability.</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8" w:lineRule="exact"/>
        <w:rPr>
          <w:sz w:val="20"/>
          <w:szCs w:val="20"/>
          <w:color w:val="auto"/>
        </w:rPr>
      </w:pPr>
    </w:p>
    <w:p>
      <w:pPr>
        <w:ind w:right="740"/>
        <w:spacing w:after="0" w:line="277" w:lineRule="auto"/>
        <w:rPr>
          <w:sz w:val="20"/>
          <w:szCs w:val="20"/>
          <w:color w:val="auto"/>
        </w:rPr>
      </w:pPr>
      <w:r>
        <w:rPr>
          <w:rFonts w:ascii="Times New Roman" w:cs="Times New Roman" w:eastAsia="Times New Roman" w:hAnsi="Times New Roman"/>
          <w:sz w:val="20"/>
          <w:szCs w:val="20"/>
          <w:color w:val="auto"/>
        </w:rPr>
        <w:t>Interest income consists of interest earned on money market funds, U.S. treasury bills and U.S. government agency bond investments.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income (expense), net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 income (expense), net consists of miscellaneous income and expense unrelated to our core operations.</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20"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20"/>
          <w:szCs w:val="20"/>
          <w:color w:val="auto"/>
        </w:rPr>
        <w:t>We recorded a full valuation allowance of our deferred tax asset position as of December 31, 2025 and 2024 as we believe it was more likely than not that we would not be able to utilize our deferred tax assets.</w:t>
      </w:r>
    </w:p>
    <w:p>
      <w:pPr>
        <w:spacing w:after="0" w:line="169" w:lineRule="exact"/>
        <w:rPr>
          <w:sz w:val="20"/>
          <w:szCs w:val="20"/>
          <w:color w:val="auto"/>
        </w:rPr>
      </w:pPr>
    </w:p>
    <w:p>
      <w:pPr>
        <w:ind w:right="180"/>
        <w:spacing w:after="0" w:line="305" w:lineRule="auto"/>
        <w:rPr>
          <w:sz w:val="20"/>
          <w:szCs w:val="20"/>
          <w:color w:val="auto"/>
        </w:rPr>
      </w:pPr>
      <w:r>
        <w:rPr>
          <w:rFonts w:ascii="Times New Roman" w:cs="Times New Roman" w:eastAsia="Times New Roman" w:hAnsi="Times New Roman"/>
          <w:sz w:val="19"/>
          <w:szCs w:val="19"/>
          <w:color w:val="auto"/>
        </w:rPr>
        <w:t>As of December 31, 2025, we had federal and state net operating losses (“NOLs”) carryforwards of $66.9 million and $92.9 million, respectively. The federal NOLs are not subject to expiration and are limited in utilization to 80% of taxable income and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113</w:t>
      </w:r>
    </w:p>
    <w:p>
      <w:pPr>
        <w:sectPr>
          <w:pgSz w:w="12240" w:h="15840" w:orient="portrait"/>
          <w:cols w:equalWidth="0" w:num="1">
            <w:col w:w="10420"/>
          </w:cols>
          <w:pgMar w:left="900" w:top="944" w:right="920" w:bottom="371" w:gutter="0" w:footer="0" w:header="0"/>
        </w:sectPr>
      </w:pPr>
    </w:p>
    <w:bookmarkStart w:id="118" w:name="page119"/>
    <w:bookmarkEnd w:id="118"/>
    <w:p>
      <w:pPr>
        <w:ind w:right="200"/>
        <w:spacing w:after="0" w:line="278" w:lineRule="auto"/>
        <w:rPr>
          <w:sz w:val="20"/>
          <w:szCs w:val="20"/>
          <w:color w:val="auto"/>
        </w:rPr>
      </w:pPr>
      <w:r>
        <w:rPr>
          <w:rFonts w:ascii="Times New Roman" w:cs="Times New Roman" w:eastAsia="Times New Roman" w:hAnsi="Times New Roman"/>
          <w:sz w:val="20"/>
          <w:szCs w:val="20"/>
          <w:color w:val="auto"/>
        </w:rPr>
        <w:t>the state NOLs begin to expire in 2041. As of December 31, 2025, we had federal and state research and development credits of $5.7 million and $1.2 million, respectively, which will, if not utilized, begin to expire in 2043 and 2037, respectively.</w:t>
      </w:r>
    </w:p>
    <w:p>
      <w:pPr>
        <w:spacing w:after="0" w:line="277"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On July 4, 2025, new U.S. tax legislation was signed into law (known as the “One Big Beautiful Bill Act” or “OBBBA”) which makes permanent many of the tax provisions enacted in 2017 as part of the Tax Cuts and Jobs Act that were set to expire at the end of 2025. In addition, the OBBBA makes changes to certain U.S. corporate tax provisions, but many are generally not effective until 2026. The impacts of the OBBBA were not material to the 2025 consolidated financial statements; however, we will continue to evaluate impacts to future periods.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2025 and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59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3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990" w:type="dxa"/>
            <w:vAlign w:val="bottom"/>
            <w:tcBorders>
              <w:bottom w:val="single" w:sz="8" w:color="D4EFF4"/>
            </w:tcBorders>
          </w:tcPr>
          <w:p>
            <w:pPr>
              <w:spacing w:after="0"/>
              <w:rPr>
                <w:sz w:val="15"/>
                <w:szCs w:val="15"/>
                <w:color w:val="auto"/>
              </w:rPr>
            </w:pPr>
          </w:p>
        </w:tc>
        <w:tc>
          <w:tcPr>
            <w:tcW w:w="15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112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14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80" w:type="dxa"/>
            <w:vAlign w:val="bottom"/>
            <w:tcBorders>
              <w:bottom w:val="single" w:sz="8" w:color="D4EFF4"/>
            </w:tcBorders>
          </w:tcPr>
          <w:p>
            <w:pPr>
              <w:spacing w:after="0"/>
              <w:rPr>
                <w:sz w:val="15"/>
                <w:szCs w:val="15"/>
                <w:color w:val="auto"/>
              </w:rPr>
            </w:pPr>
          </w:p>
        </w:tc>
        <w:tc>
          <w:tcPr>
            <w:tcW w:w="1240" w:type="dxa"/>
            <w:vAlign w:val="bottom"/>
            <w:tcBorders>
              <w:bottom w:val="single" w:sz="8" w:color="D4EFF4"/>
            </w:tcBorders>
            <w:gridSpan w:val="2"/>
          </w:tcPr>
          <w:p>
            <w:pPr>
              <w:jc w:val="right"/>
              <w:ind w:right="260"/>
              <w:spacing w:after="0" w:line="178"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112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99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Collaboration revenue</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2,854</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gridSpan w:val="2"/>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2,370</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484</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99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Research and development</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136,806</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62,966</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73,840</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5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26,409</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17,168</w:t>
            </w:r>
          </w:p>
        </w:tc>
        <w:tc>
          <w:tcPr>
            <w:tcW w:w="110" w:type="dxa"/>
            <w:vAlign w:val="bottom"/>
            <w:tcBorders>
              <w:bottom w:val="single" w:sz="8" w:color="auto"/>
            </w:tcBorders>
          </w:tcPr>
          <w:p>
            <w:pPr>
              <w:spacing w:after="0"/>
              <w:rPr>
                <w:sz w:val="22"/>
                <w:szCs w:val="22"/>
                <w:color w:val="auto"/>
              </w:rPr>
            </w:pPr>
          </w:p>
        </w:tc>
        <w:tc>
          <w:tcPr>
            <w:tcW w:w="1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9,241</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5990" w:type="dxa"/>
            <w:vAlign w:val="bottom"/>
            <w:tcBorders>
              <w:top w:val="single" w:sz="8" w:color="D4EFF4"/>
            </w:tcBorders>
            <w:shd w:val="clear" w:color="auto" w:fill="D4EFF4"/>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15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1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163,215</w:t>
            </w: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bottom w:val="single" w:sz="8" w:color="auto"/>
            </w:tcBorders>
            <w:shd w:val="clear" w:color="auto" w:fill="D4EFF4"/>
          </w:tcPr>
          <w:p>
            <w:pPr>
              <w:spacing w:after="0"/>
              <w:rPr>
                <w:sz w:val="18"/>
                <w:szCs w:val="18"/>
                <w:color w:val="auto"/>
              </w:rPr>
            </w:pPr>
          </w:p>
        </w:tc>
        <w:tc>
          <w:tcPr>
            <w:tcW w:w="113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80,134</w:t>
            </w:r>
          </w:p>
        </w:tc>
        <w:tc>
          <w:tcPr>
            <w:tcW w:w="11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c>
          <w:tcPr>
            <w:tcW w:w="1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83,081</w:t>
            </w: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5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(160,361 )</w:t>
            </w:r>
          </w:p>
        </w:tc>
        <w:tc>
          <w:tcPr>
            <w:tcW w:w="1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(77,764 )</w:t>
            </w: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(82,597 )</w:t>
            </w:r>
          </w:p>
        </w:tc>
        <w:tc>
          <w:tcPr>
            <w:tcW w:w="0" w:type="dxa"/>
            <w:vAlign w:val="bottom"/>
          </w:tcPr>
          <w:p>
            <w:pPr>
              <w:spacing w:after="0"/>
              <w:rPr>
                <w:sz w:val="1"/>
                <w:szCs w:val="1"/>
                <w:color w:val="auto"/>
              </w:rPr>
            </w:pPr>
          </w:p>
        </w:tc>
      </w:tr>
      <w:tr>
        <w:trPr>
          <w:trHeight w:val="229"/>
        </w:trPr>
        <w:tc>
          <w:tcPr>
            <w:tcW w:w="599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13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Change in fair value of preferred stock tranche right liability</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20" w:type="dxa"/>
            <w:vAlign w:val="bottom"/>
            <w:tcBorders>
              <w:bottom w:val="single" w:sz="8" w:color="D4EFF4"/>
            </w:tcBorders>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2,859</w:t>
            </w: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220" w:type="dxa"/>
            <w:vAlign w:val="bottom"/>
            <w:tcBorders>
              <w:bottom w:val="single" w:sz="8" w:color="D4EFF4"/>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(2,859 )</w:t>
            </w:r>
          </w:p>
        </w:tc>
        <w:tc>
          <w:tcPr>
            <w:tcW w:w="0" w:type="dxa"/>
            <w:vAlign w:val="bottom"/>
          </w:tcPr>
          <w:p>
            <w:pPr>
              <w:spacing w:after="0"/>
              <w:rPr>
                <w:sz w:val="1"/>
                <w:szCs w:val="1"/>
                <w:color w:val="auto"/>
              </w:rPr>
            </w:pPr>
          </w:p>
        </w:tc>
      </w:tr>
      <w:tr>
        <w:trPr>
          <w:trHeight w:val="225"/>
        </w:trPr>
        <w:tc>
          <w:tcPr>
            <w:tcW w:w="599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Interest income</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16,933</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12,123</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4,810</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Other expense, net</w:t>
            </w:r>
          </w:p>
        </w:tc>
        <w:tc>
          <w:tcPr>
            <w:tcW w:w="15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(15 )</w:t>
            </w: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(24 )</w:t>
            </w:r>
          </w:p>
        </w:tc>
        <w:tc>
          <w:tcPr>
            <w:tcW w:w="1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990" w:type="dxa"/>
            <w:vAlign w:val="bottom"/>
            <w:tcBorders>
              <w:top w:val="single" w:sz="8" w:color="D4EFF4"/>
              <w:bottom w:val="single" w:sz="8" w:color="D4EFF4"/>
            </w:tcBorders>
            <w:shd w:val="clear" w:color="auto" w:fill="D4EFF4"/>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other income, net</w:t>
            </w:r>
          </w:p>
        </w:tc>
        <w:tc>
          <w:tcPr>
            <w:tcW w:w="15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1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16,918</w:t>
            </w: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14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80" w:type="dxa"/>
            <w:vAlign w:val="bottom"/>
            <w:tcBorders>
              <w:top w:val="single" w:sz="8" w:color="D4EFF4"/>
              <w:bottom w:val="single" w:sz="8" w:color="auto"/>
            </w:tcBorders>
            <w:shd w:val="clear" w:color="auto" w:fill="D4EFF4"/>
          </w:tcPr>
          <w:p>
            <w:pPr>
              <w:spacing w:after="0"/>
              <w:rPr>
                <w:sz w:val="20"/>
                <w:szCs w:val="20"/>
                <w:color w:val="auto"/>
              </w:rPr>
            </w:pPr>
          </w:p>
        </w:tc>
        <w:tc>
          <w:tcPr>
            <w:tcW w:w="113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14,958</w:t>
            </w:r>
          </w:p>
        </w:tc>
        <w:tc>
          <w:tcPr>
            <w:tcW w:w="110" w:type="dxa"/>
            <w:vAlign w:val="bottom"/>
            <w:tcBorders>
              <w:top w:val="single" w:sz="8" w:color="D4EFF4"/>
              <w:bottom w:val="single" w:sz="8" w:color="auto"/>
            </w:tcBorders>
            <w:shd w:val="clear" w:color="auto" w:fill="D4EFF4"/>
          </w:tcPr>
          <w:p>
            <w:pPr>
              <w:spacing w:after="0"/>
              <w:rPr>
                <w:sz w:val="20"/>
                <w:szCs w:val="20"/>
                <w:color w:val="auto"/>
              </w:rPr>
            </w:pPr>
          </w:p>
        </w:tc>
        <w:tc>
          <w:tcPr>
            <w:tcW w:w="12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20" w:type="dxa"/>
            <w:vAlign w:val="bottom"/>
            <w:tcBorders>
              <w:top w:val="single" w:sz="8" w:color="D4EFF4"/>
              <w:bottom w:val="single" w:sz="8" w:color="auto"/>
            </w:tcBorders>
            <w:shd w:val="clear" w:color="auto" w:fill="D4EFF4"/>
          </w:tcPr>
          <w:p>
            <w:pPr>
              <w:spacing w:after="0"/>
              <w:rPr>
                <w:sz w:val="20"/>
                <w:szCs w:val="20"/>
                <w:color w:val="auto"/>
              </w:rPr>
            </w:pPr>
          </w:p>
        </w:tc>
        <w:tc>
          <w:tcPr>
            <w:tcW w:w="1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1,960</w:t>
            </w: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9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rPr>
              <w:t>Net loss</w:t>
            </w:r>
          </w:p>
        </w:tc>
        <w:tc>
          <w:tcPr>
            <w:tcW w:w="17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(143,443 )</w:t>
            </w:r>
          </w:p>
        </w:tc>
        <w:tc>
          <w:tcPr>
            <w:tcW w:w="160" w:type="dxa"/>
            <w:vAlign w:val="bottom"/>
            <w:gridSpan w:val="2"/>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(62,806 )</w:t>
            </w:r>
          </w:p>
        </w:tc>
        <w:tc>
          <w:tcPr>
            <w:tcW w:w="140" w:type="dxa"/>
            <w:vAlign w:val="bottom"/>
            <w:gridSpan w:val="2"/>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(80,637 )</w:t>
            </w:r>
          </w:p>
        </w:tc>
        <w:tc>
          <w:tcPr>
            <w:tcW w:w="0" w:type="dxa"/>
            <w:vAlign w:val="bottom"/>
          </w:tcPr>
          <w:p>
            <w:pPr>
              <w:spacing w:after="0"/>
              <w:rPr>
                <w:sz w:val="1"/>
                <w:szCs w:val="1"/>
                <w:color w:val="auto"/>
              </w:rPr>
            </w:pPr>
          </w:p>
        </w:tc>
      </w:tr>
      <w:tr>
        <w:trPr>
          <w:trHeight w:val="20"/>
        </w:trPr>
        <w:tc>
          <w:tcPr>
            <w:tcW w:w="59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-1760220</wp:posOffset>
                </wp:positionV>
                <wp:extent cx="6619875"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8.5999pt" to="521.6pt,-138.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-1449705</wp:posOffset>
                </wp:positionV>
                <wp:extent cx="661987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4.1499pt" to="521.6pt,-114.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-811530</wp:posOffset>
                </wp:positionV>
                <wp:extent cx="6619875"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3.8999pt" to="521.6pt,-63.8999pt" o:allowincell="f" strokecolor="#FFFFFF" strokeweight="0.72pt"/>
            </w:pict>
          </mc:Fallback>
        </mc:AlternateConten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119" w:lineRule="exact"/>
        <w:rPr>
          <w:sz w:val="20"/>
          <w:szCs w:val="20"/>
          <w:color w:val="auto"/>
        </w:rPr>
      </w:pPr>
    </w:p>
    <w:p>
      <w:pPr>
        <w:jc w:val="both"/>
        <w:ind w:right="60"/>
        <w:spacing w:after="0" w:line="259" w:lineRule="auto"/>
        <w:rPr>
          <w:sz w:val="20"/>
          <w:szCs w:val="20"/>
          <w:color w:val="auto"/>
        </w:rPr>
      </w:pPr>
      <w:r>
        <w:rPr>
          <w:rFonts w:ascii="Times New Roman" w:cs="Times New Roman" w:eastAsia="Times New Roman" w:hAnsi="Times New Roman"/>
          <w:sz w:val="20"/>
          <w:szCs w:val="20"/>
          <w:color w:val="auto"/>
        </w:rPr>
        <w:t>Collaboration revenue was $2.9 million and $2.4 million for the years ended December 31, 2025 and 2024. Revenue during each of the years ended December 31, 2025 and 2024 was primarily related to the work performed associated with our Phase 2 clinical trial in patients with severe asthma under the Maruho License Agreement.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2710" w:type="dxa"/>
            <w:vAlign w:val="bottom"/>
            <w:tcBorders>
              <w:bottom w:val="single" w:sz="8" w:color="auto"/>
            </w:tcBorders>
            <w:gridSpan w:val="6"/>
          </w:tcPr>
          <w:p>
            <w:pPr>
              <w:ind w:left="35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123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9"/>
        </w:trPr>
        <w:tc>
          <w:tcPr>
            <w:tcW w:w="59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1130" w:type="dxa"/>
            <w:vAlign w:val="bottom"/>
            <w:tcBorders>
              <w:bottom w:val="single" w:sz="8" w:color="auto"/>
            </w:tcBorders>
          </w:tcPr>
          <w:p>
            <w:pPr>
              <w:ind w:left="3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3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 w:type="dxa"/>
            <w:vAlign w:val="bottom"/>
            <w:tcBorders>
              <w:bottom w:val="single" w:sz="8" w:color="auto"/>
            </w:tcBorders>
          </w:tcPr>
          <w:p>
            <w:pPr>
              <w:spacing w:after="0"/>
              <w:rPr>
                <w:sz w:val="16"/>
                <w:szCs w:val="16"/>
                <w:color w:val="auto"/>
              </w:rPr>
            </w:pPr>
          </w:p>
        </w:tc>
        <w:tc>
          <w:tcPr>
            <w:tcW w:w="123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990" w:type="dxa"/>
            <w:vAlign w:val="bottom"/>
            <w:tcBorders>
              <w:bottom w:val="single" w:sz="8" w:color="D4EFF4"/>
            </w:tcBorders>
          </w:tcPr>
          <w:p>
            <w:pPr>
              <w:spacing w:after="0"/>
              <w:rPr>
                <w:sz w:val="15"/>
                <w:szCs w:val="15"/>
                <w:color w:val="auto"/>
              </w:rPr>
            </w:pPr>
          </w:p>
        </w:tc>
        <w:tc>
          <w:tcPr>
            <w:tcW w:w="150" w:type="dxa"/>
            <w:vAlign w:val="bottom"/>
            <w:tcBorders>
              <w:bottom w:val="single" w:sz="8" w:color="D4EFF4"/>
            </w:tcBorders>
          </w:tcPr>
          <w:p>
            <w:pPr>
              <w:spacing w:after="0"/>
              <w:rPr>
                <w:sz w:val="15"/>
                <w:szCs w:val="15"/>
                <w:color w:val="auto"/>
              </w:rPr>
            </w:pPr>
          </w:p>
        </w:tc>
        <w:tc>
          <w:tcPr>
            <w:tcW w:w="110" w:type="dxa"/>
            <w:vAlign w:val="bottom"/>
            <w:tcBorders>
              <w:bottom w:val="single" w:sz="8" w:color="D4EFF4"/>
            </w:tcBorders>
          </w:tcPr>
          <w:p>
            <w:pPr>
              <w:spacing w:after="0"/>
              <w:rPr>
                <w:sz w:val="15"/>
                <w:szCs w:val="15"/>
                <w:color w:val="auto"/>
              </w:rPr>
            </w:pPr>
          </w:p>
        </w:tc>
        <w:tc>
          <w:tcPr>
            <w:tcW w:w="113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14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1240" w:type="dxa"/>
            <w:vAlign w:val="bottom"/>
            <w:tcBorders>
              <w:bottom w:val="single" w:sz="8" w:color="D4EFF4"/>
            </w:tcBorders>
            <w:gridSpan w:val="2"/>
          </w:tcPr>
          <w:p>
            <w:pPr>
              <w:ind w:left="60"/>
              <w:spacing w:after="0" w:line="177"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10" w:type="dxa"/>
            <w:vAlign w:val="bottom"/>
            <w:tcBorders>
              <w:bottom w:val="single" w:sz="8" w:color="D4EFF4"/>
            </w:tcBorders>
          </w:tcPr>
          <w:p>
            <w:pPr>
              <w:spacing w:after="0"/>
              <w:rPr>
                <w:sz w:val="15"/>
                <w:szCs w:val="15"/>
                <w:color w:val="auto"/>
              </w:rPr>
            </w:pPr>
          </w:p>
        </w:tc>
        <w:tc>
          <w:tcPr>
            <w:tcW w:w="1120" w:type="dxa"/>
            <w:vAlign w:val="bottom"/>
            <w:tcBorders>
              <w:bottom w:val="single" w:sz="8" w:color="D4EFF4"/>
            </w:tcBorders>
          </w:tcPr>
          <w:p>
            <w:pPr>
              <w:spacing w:after="0"/>
              <w:rPr>
                <w:sz w:val="15"/>
                <w:szCs w:val="15"/>
                <w:color w:val="auto"/>
              </w:rPr>
            </w:pPr>
          </w:p>
        </w:tc>
        <w:tc>
          <w:tcPr>
            <w:tcW w:w="110" w:type="dxa"/>
            <w:vAlign w:val="bottom"/>
            <w:tcBorders>
              <w:bottom w:val="single" w:sz="8" w:color="D4EFF4"/>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9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Direct research and development expenses by program:</w:t>
            </w:r>
          </w:p>
        </w:tc>
        <w:tc>
          <w:tcPr>
            <w:tcW w:w="1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3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3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Verekitug program:</w:t>
            </w:r>
          </w:p>
        </w:tc>
        <w:tc>
          <w:tcPr>
            <w:tcW w:w="15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90" w:type="dxa"/>
            <w:vAlign w:val="bottom"/>
            <w:shd w:val="clear" w:color="auto" w:fill="D4EFF4"/>
          </w:tcPr>
          <w:p>
            <w:pPr>
              <w:ind w:left="400"/>
              <w:spacing w:after="0" w:line="224" w:lineRule="exact"/>
              <w:rPr>
                <w:sz w:val="20"/>
                <w:szCs w:val="20"/>
                <w:color w:val="auto"/>
              </w:rPr>
            </w:pPr>
            <w:r>
              <w:rPr>
                <w:rFonts w:ascii="Times New Roman" w:cs="Times New Roman" w:eastAsia="Times New Roman" w:hAnsi="Times New Roman"/>
                <w:sz w:val="20"/>
                <w:szCs w:val="20"/>
                <w:color w:val="auto"/>
              </w:rPr>
              <w:t>Asthma indication</w:t>
            </w:r>
          </w:p>
        </w:tc>
        <w:tc>
          <w:tcPr>
            <w:tcW w:w="150" w:type="dxa"/>
            <w:vAlign w:val="bottom"/>
            <w:shd w:val="clear" w:color="auto" w:fill="D4EFF4"/>
          </w:tcPr>
          <w:p>
            <w:pPr>
              <w:spacing w:after="0"/>
              <w:rPr>
                <w:sz w:val="19"/>
                <w:szCs w:val="19"/>
                <w:color w:val="auto"/>
              </w:rPr>
            </w:pPr>
          </w:p>
        </w:tc>
        <w:tc>
          <w:tcPr>
            <w:tcW w:w="11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47,694</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28,069</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19,625</w:t>
            </w:r>
          </w:p>
        </w:tc>
        <w:tc>
          <w:tcPr>
            <w:tcW w:w="11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99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COPD indication</w:t>
            </w:r>
          </w:p>
        </w:tc>
        <w:tc>
          <w:tcPr>
            <w:tcW w:w="15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34,562</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3,115</w:t>
            </w: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31,447</w:t>
            </w:r>
          </w:p>
        </w:tc>
        <w:tc>
          <w:tcPr>
            <w:tcW w:w="11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990" w:type="dxa"/>
            <w:vAlign w:val="bottom"/>
            <w:shd w:val="clear" w:color="auto" w:fill="D4EFF4"/>
          </w:tcPr>
          <w:p>
            <w:pPr>
              <w:ind w:left="400"/>
              <w:spacing w:after="0" w:line="225" w:lineRule="exact"/>
              <w:rPr>
                <w:sz w:val="20"/>
                <w:szCs w:val="20"/>
                <w:color w:val="auto"/>
              </w:rPr>
            </w:pPr>
            <w:r>
              <w:rPr>
                <w:rFonts w:ascii="Times New Roman" w:cs="Times New Roman" w:eastAsia="Times New Roman" w:hAnsi="Times New Roman"/>
                <w:sz w:val="20"/>
                <w:szCs w:val="20"/>
                <w:color w:val="auto"/>
              </w:rPr>
              <w:t>CRSwNP indication</w:t>
            </w:r>
          </w:p>
        </w:tc>
        <w:tc>
          <w:tcPr>
            <w:tcW w:w="1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7,564</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10,524</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(2,960</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44"/>
        </w:trPr>
        <w:tc>
          <w:tcPr>
            <w:tcW w:w="5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Unallocated research and development expense:</w:t>
            </w:r>
          </w:p>
        </w:tc>
        <w:tc>
          <w:tcPr>
            <w:tcW w:w="15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9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Manufacturing costs</w:t>
            </w:r>
          </w:p>
        </w:tc>
        <w:tc>
          <w:tcPr>
            <w:tcW w:w="1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23,013</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6,580</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16,433</w:t>
            </w:r>
          </w:p>
        </w:tc>
        <w:tc>
          <w:tcPr>
            <w:tcW w:w="11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Personnel expenses (including stock-based compensation)</w:t>
            </w:r>
          </w:p>
        </w:tc>
        <w:tc>
          <w:tcPr>
            <w:tcW w:w="15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18,343</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9,911</w:t>
            </w: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8,432</w:t>
            </w:r>
          </w:p>
        </w:tc>
        <w:tc>
          <w:tcPr>
            <w:tcW w:w="11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9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Professional fees</w:t>
            </w:r>
          </w:p>
        </w:tc>
        <w:tc>
          <w:tcPr>
            <w:tcW w:w="1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2,940</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2,062</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878</w:t>
            </w:r>
          </w:p>
        </w:tc>
        <w:tc>
          <w:tcPr>
            <w:tcW w:w="11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Other unallocated expenses</w:t>
            </w:r>
          </w:p>
        </w:tc>
        <w:tc>
          <w:tcPr>
            <w:tcW w:w="150" w:type="dxa"/>
            <w:vAlign w:val="bottom"/>
            <w:tcBorders>
              <w:bottom w:val="single" w:sz="8" w:color="D4EFF4"/>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2,690</w:t>
            </w: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2,705</w:t>
            </w:r>
          </w:p>
        </w:tc>
        <w:tc>
          <w:tcPr>
            <w:tcW w:w="110" w:type="dxa"/>
            <w:vAlign w:val="bottom"/>
            <w:tcBorders>
              <w:bottom w:val="single" w:sz="8" w:color="auto"/>
            </w:tcBorders>
          </w:tcPr>
          <w:p>
            <w:pPr>
              <w:spacing w:after="0"/>
              <w:rPr>
                <w:sz w:val="23"/>
                <w:szCs w:val="23"/>
                <w:color w:val="auto"/>
              </w:rPr>
            </w:pPr>
          </w:p>
        </w:tc>
        <w:tc>
          <w:tcPr>
            <w:tcW w:w="12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10" w:type="dxa"/>
            <w:vAlign w:val="bottom"/>
            <w:tcBorders>
              <w:bottom w:val="single" w:sz="8" w:color="auto"/>
            </w:tcBorders>
          </w:tcPr>
          <w:p>
            <w:pPr>
              <w:spacing w:after="0"/>
              <w:rPr>
                <w:sz w:val="23"/>
                <w:szCs w:val="23"/>
                <w:color w:val="auto"/>
              </w:rPr>
            </w:pPr>
          </w:p>
        </w:tc>
        <w:tc>
          <w:tcPr>
            <w:tcW w:w="123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0" w:type="dxa"/>
            <w:vAlign w:val="bottom"/>
          </w:tcPr>
          <w:p>
            <w:pPr>
              <w:spacing w:after="0"/>
              <w:rPr>
                <w:sz w:val="1"/>
                <w:szCs w:val="1"/>
                <w:color w:val="auto"/>
              </w:rPr>
            </w:pPr>
          </w:p>
        </w:tc>
      </w:tr>
      <w:tr>
        <w:trPr>
          <w:trHeight w:val="214"/>
        </w:trPr>
        <w:tc>
          <w:tcPr>
            <w:tcW w:w="5990" w:type="dxa"/>
            <w:vAlign w:val="bottom"/>
            <w:tcBorders>
              <w:top w:val="single" w:sz="8" w:color="D4EFF4"/>
            </w:tcBorders>
            <w:shd w:val="clear" w:color="auto" w:fill="D4EFF4"/>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research and development expense</w:t>
            </w:r>
          </w:p>
        </w:tc>
        <w:tc>
          <w:tcPr>
            <w:tcW w:w="150" w:type="dxa"/>
            <w:vAlign w:val="bottom"/>
            <w:tcBorders>
              <w:top w:val="single" w:sz="8" w:color="D4EFF4"/>
            </w:tcBorders>
            <w:shd w:val="clear" w:color="auto" w:fill="D4EFF4"/>
          </w:tcPr>
          <w:p>
            <w:pPr>
              <w:spacing w:after="0"/>
              <w:rPr>
                <w:sz w:val="18"/>
                <w:szCs w:val="18"/>
                <w:color w:val="auto"/>
              </w:rPr>
            </w:pPr>
          </w:p>
        </w:tc>
        <w:tc>
          <w:tcPr>
            <w:tcW w:w="11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3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136,806</w:t>
            </w: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3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62,966</w:t>
            </w:r>
          </w:p>
        </w:tc>
        <w:tc>
          <w:tcPr>
            <w:tcW w:w="11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1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2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73,840</w:t>
            </w:r>
          </w:p>
        </w:tc>
        <w:tc>
          <w:tcPr>
            <w:tcW w:w="110" w:type="dxa"/>
            <w:vAlign w:val="bottom"/>
            <w:tcBorders>
              <w:top w:val="single" w:sz="8" w:color="D4EFF4"/>
              <w:bottom w:val="single" w:sz="8" w:color="auto"/>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3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3902075</wp:posOffset>
                </wp:positionH>
                <wp:positionV relativeFrom="paragraph">
                  <wp:posOffset>-1856740</wp:posOffset>
                </wp:positionV>
                <wp:extent cx="84709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090" cy="4763"/>
                        </a:xfrm>
                        <a:prstGeom prst="line">
                          <a:avLst/>
                        </a:prstGeom>
                        <a:solidFill>
                          <a:srgbClr val="FFFFFF"/>
                        </a:solidFill>
                        <a:ln w="3049">
                          <a:solidFill>
                            <a:srgbClr val="FFFFFF"/>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7.25pt,-146.1999pt" to="373.95pt,-146.1999pt" o:allowincell="f" strokecolor="#FFFFFF" strokeweight="0.2401pt"/>
            </w:pict>
          </mc:Fallback>
        </mc:AlternateContent>
        <mc:AlternateContent>
          <mc:Choice Requires="wps">
            <w:drawing>
              <wp:anchor simplePos="0" relativeHeight="251657728" behindDoc="1" locked="0" layoutInCell="0" allowOverlap="1">
                <wp:simplePos x="0" y="0"/>
                <wp:positionH relativeFrom="column">
                  <wp:posOffset>4749165</wp:posOffset>
                </wp:positionH>
                <wp:positionV relativeFrom="paragraph">
                  <wp:posOffset>-1859915</wp:posOffset>
                </wp:positionV>
                <wp:extent cx="92075" cy="0"/>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20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2" o:spid="_x0000_s106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3.95pt,-146.4499pt" to="381.2pt,-146.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4841240</wp:posOffset>
                </wp:positionH>
                <wp:positionV relativeFrom="paragraph">
                  <wp:posOffset>-1856740</wp:posOffset>
                </wp:positionV>
                <wp:extent cx="847090" cy="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7090" cy="4763"/>
                        </a:xfrm>
                        <a:prstGeom prst="line">
                          <a:avLst/>
                        </a:prstGeom>
                        <a:solidFill>
                          <a:srgbClr val="FFFFFF"/>
                        </a:solidFill>
                        <a:ln w="3049">
                          <a:solidFill>
                            <a:srgbClr val="FFFFFF"/>
                          </a:solidFill>
                          <a:miter lim="800000"/>
                          <a:headEnd/>
                          <a:tailEnd/>
                        </a:ln>
                      </wps:spPr>
                      <wps:bodyPr/>
                    </wps:wsp>
                  </a:graphicData>
                </a:graphic>
              </wp:anchor>
            </w:drawing>
          </mc:Choice>
          <mc:Fallback>
            <w:pict>
              <v:line id="Shape 43" o:spid="_x0000_s106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pt,-146.1999pt" to="447.9pt,-146.1999pt" o:allowincell="f" strokecolor="#FFFFFF" strokeweight="0.2401pt"/>
            </w:pict>
          </mc:Fallback>
        </mc:AlternateContent>
        <mc:AlternateContent>
          <mc:Choice Requires="wps">
            <w:drawing>
              <wp:anchor simplePos="0" relativeHeight="251657728" behindDoc="1" locked="0" layoutInCell="0" allowOverlap="1">
                <wp:simplePos x="0" y="0"/>
                <wp:positionH relativeFrom="column">
                  <wp:posOffset>5780405</wp:posOffset>
                </wp:positionH>
                <wp:positionV relativeFrom="paragraph">
                  <wp:posOffset>-1856740</wp:posOffset>
                </wp:positionV>
                <wp:extent cx="843915" cy="0"/>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3915" cy="4763"/>
                        </a:xfrm>
                        <a:prstGeom prst="line">
                          <a:avLst/>
                        </a:prstGeom>
                        <a:solidFill>
                          <a:srgbClr val="FFFFFF"/>
                        </a:solidFill>
                        <a:ln w="3049">
                          <a:solidFill>
                            <a:srgbClr val="FFFFFF"/>
                          </a:solidFill>
                          <a:miter lim="800000"/>
                          <a:headEnd/>
                          <a:tailEnd/>
                        </a:ln>
                      </wps:spPr>
                      <wps:bodyPr/>
                    </wps:wsp>
                  </a:graphicData>
                </a:graphic>
              </wp:anchor>
            </w:drawing>
          </mc:Choice>
          <mc:Fallback>
            <w:pict>
              <v:line id="Shape 44" o:spid="_x0000_s10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5.15pt,-146.1999pt" to="521.6pt,-146.1999pt" o:allowincell="f" strokecolor="#FFFFFF" strokeweight="0.240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-1269365</wp:posOffset>
                </wp:positionV>
                <wp:extent cx="6619875" cy="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5" o:spid="_x0000_s10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9.9499pt" to="521.6pt,-99.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-960120</wp:posOffset>
                </wp:positionV>
                <wp:extent cx="6619875" cy="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6" o:spid="_x0000_s10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75.5999pt" to="521.6pt,-75.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-649605</wp:posOffset>
                </wp:positionV>
                <wp:extent cx="66198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1.1499pt" to="521.6pt,-51.1499pt" o:allowincell="f" strokecolor="#FFFFFF" strokeweight="0.71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114</w:t>
      </w:r>
    </w:p>
    <w:p>
      <w:pPr>
        <w:sectPr>
          <w:pgSz w:w="12240" w:h="15840" w:orient="portrait"/>
          <w:cols w:equalWidth="0" w:num="1">
            <w:col w:w="10440"/>
          </w:cols>
          <w:pgMar w:left="900" w:top="929" w:right="900" w:bottom="371" w:gutter="0" w:footer="0" w:header="0"/>
        </w:sectPr>
      </w:pPr>
    </w:p>
    <w:bookmarkStart w:id="119" w:name="page120"/>
    <w:bookmarkEnd w:id="119"/>
    <w:p>
      <w:pPr>
        <w:ind w:right="260"/>
        <w:spacing w:after="0" w:line="259" w:lineRule="auto"/>
        <w:rPr>
          <w:sz w:val="20"/>
          <w:szCs w:val="20"/>
          <w:color w:val="auto"/>
        </w:rPr>
      </w:pPr>
      <w:r>
        <w:rPr>
          <w:rFonts w:ascii="Times New Roman" w:cs="Times New Roman" w:eastAsia="Times New Roman" w:hAnsi="Times New Roman"/>
          <w:sz w:val="20"/>
          <w:szCs w:val="20"/>
          <w:color w:val="auto"/>
        </w:rPr>
        <w:t>Research and development expenses were $136.8 million for the year ended December 31, 2025 compared to $63.0 million for the year ended December 31, 2024. The increase of $73.8 million was primarily driven by an increase of $48.1 million in expenses directly related to our verekitug program and $25.7 million of unallocated research and development expenses.</w:t>
      </w:r>
    </w:p>
    <w:p>
      <w:pPr>
        <w:spacing w:after="0" w:line="18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The increase in direct costs of $31.5 million related to the COPD indication was due to the costs associated with the initiation of our COPD Phase 2 clinical trial for which there were no comparable expenses during the same period in 2024. The increase in direct costs of $19.6 million related to the asthma indication was primarily due to the continued progress associated with our Phase 2 clinical trial and Phase 2 LTE study during the year ended December 31, 2025, compared to the same period in 2024. The decrease in direct costs of $3.0 million related to the CRSwNP indication was primarily due to wind down activities associated with our Phase 2 clinical trial during the year ended December 31, 2025 compared to the same period in 2024.</w:t>
      </w:r>
    </w:p>
    <w:p>
      <w:pPr>
        <w:spacing w:after="0" w:line="20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The increase in manufacturing costs of $16.4 million was primarily attributable to an increase in CMO costs for the development of Phase 3 clinical material, partially offset by a decrease in CMO costs for the development of Phase 2 clinical material during the year ended December 31, 2025, compared to the same period in 2024. The increase in personnel expenses of $8.4 million was primarily due to increased headcount in our research and development functions. Personnel expenses for the years ended December 31, 2025 and 2024 included stock-based compensation expense of $2.9 million and $1.2 million, respectively. The increase of $0.9 million in professional fees was related to consulting services to support our verekitug program.</w:t>
      </w:r>
    </w:p>
    <w:p>
      <w:pPr>
        <w:spacing w:after="0" w:line="200"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0"/>
          <w:szCs w:val="20"/>
          <w:color w:val="auto"/>
        </w:rPr>
        <w:t>We begin to separately track program expenses at development candidate nomination. Through December 31, 2025, we have incurred approximately $98.7 million, $37.7 million and $21.5 million in direct external expenses for the development of verekitug for severe asthma, COPD and CRSwNP, respectively, since their development candidate nominations.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88"/>
        </w:trPr>
        <w:tc>
          <w:tcPr>
            <w:tcW w:w="59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3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990" w:type="dxa"/>
            <w:vAlign w:val="bottom"/>
            <w:tcBorders>
              <w:bottom w:val="single" w:sz="8" w:color="D4EFF4"/>
            </w:tcBorders>
          </w:tcPr>
          <w:p>
            <w:pPr>
              <w:spacing w:after="0"/>
              <w:rPr>
                <w:sz w:val="15"/>
                <w:szCs w:val="15"/>
                <w:color w:val="auto"/>
              </w:rPr>
            </w:pPr>
          </w:p>
        </w:tc>
        <w:tc>
          <w:tcPr>
            <w:tcW w:w="15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112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14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80" w:type="dxa"/>
            <w:vAlign w:val="bottom"/>
            <w:tcBorders>
              <w:bottom w:val="single" w:sz="8" w:color="D4EFF4"/>
            </w:tcBorders>
          </w:tcPr>
          <w:p>
            <w:pPr>
              <w:spacing w:after="0"/>
              <w:rPr>
                <w:sz w:val="15"/>
                <w:szCs w:val="15"/>
                <w:color w:val="auto"/>
              </w:rPr>
            </w:pPr>
          </w:p>
        </w:tc>
        <w:tc>
          <w:tcPr>
            <w:tcW w:w="1240" w:type="dxa"/>
            <w:vAlign w:val="bottom"/>
            <w:tcBorders>
              <w:bottom w:val="single" w:sz="8" w:color="D4EFF4"/>
            </w:tcBorders>
            <w:gridSpan w:val="2"/>
          </w:tcPr>
          <w:p>
            <w:pPr>
              <w:ind w:left="60"/>
              <w:spacing w:after="0" w:line="178"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1120" w:type="dxa"/>
            <w:vAlign w:val="bottom"/>
            <w:tcBorders>
              <w:bottom w:val="single" w:sz="8" w:color="D4EFF4"/>
            </w:tcBorders>
          </w:tcPr>
          <w:p>
            <w:pPr>
              <w:spacing w:after="0"/>
              <w:rPr>
                <w:sz w:val="15"/>
                <w:szCs w:val="15"/>
                <w:color w:val="auto"/>
              </w:rPr>
            </w:pPr>
          </w:p>
        </w:tc>
        <w:tc>
          <w:tcPr>
            <w:tcW w:w="100" w:type="dxa"/>
            <w:vAlign w:val="bottom"/>
            <w:tcBorders>
              <w:bottom w:val="single" w:sz="8" w:color="D4EFF4"/>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99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Personnel expenses (including stock-based compensation)</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15,188</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00" w:type="dxa"/>
            <w:vAlign w:val="bottom"/>
            <w:gridSpan w:val="2"/>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3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10,842</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4,346</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Professional fees</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6,718</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13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4,349</w:t>
            </w: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2,369</w:t>
            </w:r>
          </w:p>
        </w:tc>
        <w:tc>
          <w:tcPr>
            <w:tcW w:w="10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99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Other</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12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4,503</w:t>
            </w:r>
          </w:p>
        </w:tc>
        <w:tc>
          <w:tcPr>
            <w:tcW w:w="100" w:type="dxa"/>
            <w:vAlign w:val="bottom"/>
            <w:tcBorders>
              <w:bottom w:val="single" w:sz="8" w:color="auto"/>
            </w:tcBorders>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tcBorders>
              <w:bottom w:val="single" w:sz="8" w:color="auto"/>
            </w:tcBorders>
            <w:shd w:val="clear" w:color="auto" w:fill="D4EFF4"/>
          </w:tcPr>
          <w:p>
            <w:pPr>
              <w:spacing w:after="0"/>
              <w:rPr>
                <w:sz w:val="19"/>
                <w:szCs w:val="19"/>
                <w:color w:val="auto"/>
              </w:rPr>
            </w:pPr>
          </w:p>
        </w:tc>
        <w:tc>
          <w:tcPr>
            <w:tcW w:w="113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1,977</w:t>
            </w:r>
          </w:p>
        </w:tc>
        <w:tc>
          <w:tcPr>
            <w:tcW w:w="110" w:type="dxa"/>
            <w:vAlign w:val="bottom"/>
            <w:tcBorders>
              <w:bottom w:val="single" w:sz="8" w:color="auto"/>
            </w:tcBorders>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112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2,526</w:t>
            </w:r>
          </w:p>
        </w:tc>
        <w:tc>
          <w:tcPr>
            <w:tcW w:w="100" w:type="dxa"/>
            <w:vAlign w:val="bottom"/>
            <w:tcBorders>
              <w:bottom w:val="single" w:sz="8" w:color="auto"/>
            </w:tcBorders>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99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general and administrative expense</w:t>
            </w:r>
          </w:p>
        </w:tc>
        <w:tc>
          <w:tcPr>
            <w:tcW w:w="17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26,409</w:t>
            </w:r>
          </w:p>
        </w:tc>
        <w:tc>
          <w:tcPr>
            <w:tcW w:w="1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17,168</w:t>
            </w:r>
          </w:p>
        </w:tc>
        <w:tc>
          <w:tcPr>
            <w:tcW w:w="11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3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-494030</wp:posOffset>
                </wp:positionV>
                <wp:extent cx="66198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8.8999pt" to="521.6pt,-38.8999pt" o:allowincell="f" strokecolor="#FFFFFF" strokeweight="0.72pt"/>
            </w:pict>
          </mc:Fallback>
        </mc:AlternateContent>
      </w:r>
    </w:p>
    <w:p>
      <w:pPr>
        <w:spacing w:after="0" w:line="31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General and administrative expenses were $26.4 million for the year ended December 31, 2025 compared to $17.2 million for the year ended December 31, 2024. The increase of $9.2 million was primarily driven by an increase in personnel expenses of $4.3 million due to increased headcount in our general and administrative functions. Personnel expenses for the years ended December 31, 2025 and 2024 included stock-based compensation expense of $7.5 million and $4.8 million, respectively. Additionally, there was an increase of $2.4 million in professional fees primarily due to increased market research, recruiting, legal and consulting costs. Other expenses increased by $2.5 million primarily due to an increase in corporate insurance, taxes and occupancy costs.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preferred stock tranche right liability</w:t>
      </w:r>
    </w:p>
    <w:p>
      <w:pPr>
        <w:spacing w:after="0" w:line="118"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We recorded other income for the change in the fair value of the preferred stock tranche right liability of $2.9 million for the year ended December 31, 2024 related to the Series B Preferred Stock tranche right liability, for which there was no comparable income during the year ended December 31, 2025 as the Series B tranche right liability was settled in April 2024. The change in fair value of the Series B Preferred Stock tranche right liability was due to changes in the assumptions used in the valuation model during the period, including the estimated fair value of the Series B Preferred Stock, volatility and estimated time to the tranche closing.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income</w:t>
      </w:r>
    </w:p>
    <w:p>
      <w:pPr>
        <w:spacing w:after="0" w:line="11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Interest income was $16.9 million and $12.1 million for the years ended December 31, 2025 and 2024, respectively, representing an increase of $4.8 million. The increase in interest income was due to increased balances in our money market funds, U.S. treasury bills and U.S. government agency bonds held during the year ended December 31, 2025, as compared to the year ended December 31, 2024.</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115</w:t>
      </w:r>
    </w:p>
    <w:p>
      <w:pPr>
        <w:sectPr>
          <w:pgSz w:w="12240" w:h="15840" w:orient="portrait"/>
          <w:cols w:equalWidth="0" w:num="1">
            <w:col w:w="10440"/>
          </w:cols>
          <w:pgMar w:left="900" w:top="929" w:right="900" w:bottom="371"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Since our inception, we have incurred significant operating losses. We have not yet commercialized verekitug and we do not expect to generate revenue from product sales of verekitug for the next several years, if at all. To date, we have funded our operations primarily with the sale of our redeemable convertible preferred stock and the proceeds from our IPO. Through December 31, 2025, we have received gross proceeds of $400.0 million from the issuance and sale of our redeemable convertible preferred stock and $268.8 million in net proceeds from our IPO. As of December 31, 2025, we had cash, cash equivalents and short-term investments of $341.5 million.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7"/>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9"/>
        </w:trPr>
        <w:tc>
          <w:tcPr>
            <w:tcW w:w="7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6"/>
                <w:szCs w:val="16"/>
                <w:color w:val="auto"/>
              </w:rPr>
            </w:pPr>
          </w:p>
        </w:tc>
      </w:tr>
      <w:tr>
        <w:trPr>
          <w:trHeight w:val="177"/>
        </w:trPr>
        <w:tc>
          <w:tcPr>
            <w:tcW w:w="7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jc w:val="right"/>
              <w:ind w:right="20"/>
              <w:spacing w:after="0" w:line="177" w:lineRule="exact"/>
              <w:rPr>
                <w:sz w:val="20"/>
                <w:szCs w:val="20"/>
                <w:color w:val="auto"/>
              </w:rPr>
            </w:pPr>
            <w:r>
              <w:rPr>
                <w:rFonts w:ascii="Times New Roman" w:cs="Times New Roman" w:eastAsia="Times New Roman" w:hAnsi="Times New Roman"/>
                <w:sz w:val="16"/>
                <w:szCs w:val="16"/>
                <w:i w:val="1"/>
                <w:iCs w:val="1"/>
                <w:color w:val="auto"/>
              </w:rPr>
              <w:t>(in thousands)</w:t>
            </w: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45"/>
        </w:trPr>
        <w:tc>
          <w:tcPr>
            <w:tcW w:w="71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(133,275</w:t>
            </w: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440" w:type="dxa"/>
            <w:vAlign w:val="bottom"/>
            <w:shd w:val="clear" w:color="auto" w:fill="D4EFF4"/>
          </w:tcPr>
          <w:p>
            <w:pPr>
              <w:jc w:val="right"/>
              <w:ind w:right="240"/>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(59,172</w:t>
            </w: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44"/>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(93,480 )</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(59,485 )</w:t>
            </w:r>
          </w:p>
        </w:tc>
      </w:tr>
      <w:tr>
        <w:trPr>
          <w:trHeight w:val="245"/>
        </w:trPr>
        <w:tc>
          <w:tcPr>
            <w:tcW w:w="71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2,441</w:t>
            </w:r>
          </w:p>
        </w:tc>
        <w:tc>
          <w:tcPr>
            <w:tcW w:w="120" w:type="dxa"/>
            <w:vAlign w:val="bottom"/>
            <w:tcBorders>
              <w:bottom w:val="single" w:sz="8" w:color="auto"/>
            </w:tcBorders>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440" w:type="dxa"/>
            <w:vAlign w:val="bottom"/>
            <w:tcBorders>
              <w:bottom w:val="single" w:sz="8" w:color="auto"/>
            </w:tcBorders>
            <w:shd w:val="clear" w:color="auto" w:fill="D4EFF4"/>
          </w:tcPr>
          <w:p>
            <w:pPr>
              <w:spacing w:after="0"/>
              <w:rPr>
                <w:sz w:val="21"/>
                <w:szCs w:val="21"/>
                <w:color w:val="auto"/>
              </w:rPr>
            </w:pPr>
          </w:p>
        </w:tc>
        <w:tc>
          <w:tcPr>
            <w:tcW w:w="10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418,910</w:t>
            </w:r>
          </w:p>
        </w:tc>
        <w:tc>
          <w:tcPr>
            <w:tcW w:w="120" w:type="dxa"/>
            <w:vAlign w:val="bottom"/>
            <w:tcBorders>
              <w:bottom w:val="single" w:sz="8" w:color="auto"/>
            </w:tcBorders>
            <w:shd w:val="clear" w:color="auto" w:fill="D4EFF4"/>
          </w:tcPr>
          <w:p>
            <w:pPr>
              <w:spacing w:after="0"/>
              <w:rPr>
                <w:sz w:val="21"/>
                <w:szCs w:val="21"/>
                <w:color w:val="auto"/>
              </w:rPr>
            </w:pPr>
          </w:p>
        </w:tc>
      </w:tr>
      <w:tr>
        <w:trPr>
          <w:trHeight w:val="236"/>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(224,314 )</w:t>
            </w:r>
          </w:p>
        </w:tc>
        <w:tc>
          <w:tcPr>
            <w:tcW w:w="160" w:type="dxa"/>
            <w:vAlign w:val="bottom"/>
            <w:gridSpan w:val="2"/>
          </w:tcPr>
          <w:p>
            <w:pPr>
              <w:spacing w:after="0"/>
              <w:rPr>
                <w:sz w:val="20"/>
                <w:szCs w:val="20"/>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300,253</w:t>
            </w:r>
          </w:p>
        </w:tc>
        <w:tc>
          <w:tcPr>
            <w:tcW w:w="12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4545965</wp:posOffset>
                </wp:positionH>
                <wp:positionV relativeFrom="paragraph">
                  <wp:posOffset>-901700</wp:posOffset>
                </wp:positionV>
                <wp:extent cx="207835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835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7.95pt,-71pt" to="521.6pt,-71pt" o:allowincell="f" strokecolor="#FFFFFF" strokeweight="0.72pt"/>
            </w:pict>
          </mc:Fallback>
        </mc:AlternateConten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activities</w:t>
      </w:r>
    </w:p>
    <w:p>
      <w:pPr>
        <w:spacing w:after="0" w:line="23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During the year ended December 31, 2025, operating activities used $133.3 million of cash, resulting primarily from our net loss of $143.4 million and non-cash amortization of premiums and accretion of discounts on short-term investments of $1.5 million, partially offset by non-cash stock-based compensation expense of $10.3 million and changes in operating assets and liabilities of $0.6 million. Net cash provided by changes in operating assets and liabilities was primarily driven by a $4.0 million increase in accrued expenses and other current liabilities, partially offset by a $1.5 million increase in prepaid expenses and other current assets due to upfront payments to CROs for activities associated with our COPD Phase 2 trial and our Phase 2 LTE study in patients with severe asthma, a $1.3 million decrease in accounts payable and a $0.6 million decrease in operating lease liabilities.</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During the year ended December 31, 2024, operating activities used $59.2 million of cash, resulting primarily from our net loss of $62.8 million, non-cash changes in fair value of the preferred stock tranche right liability of $2.9 million and non-cash amortization of premiums and accretion of discounts on short-term investments of $1.7 million, partially offset by changes in operating assets and liabilities of $ 1.9 million and non-cash stock-based compensation expense of $6.0 million. Net cash provided by changes in operating assets and liabilities was primarily driven by a $2.0 million increase in accounts payable and a $1.5 million increase in accrued expenses and other current liabilities, partially offset by a $1.0 million increase in prepaid expenses and other current assets and a $0.5 million increase in accounts receivable. The increase in accounts receivable resulted primarily from the timing of revenue recognition compared to the timing of payments from Maruho for qualifying reimbursable expenses related to the Maruho License Agreement.</w:t>
      </w:r>
    </w:p>
    <w:p>
      <w:pPr>
        <w:spacing w:after="0" w:line="20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For all periods presented, changes in prepaid expenses and other assets, accounts payable and accrued expenses and other current liabilities not described above were generally due to the growth in our business, the advancement of our clinical programs, and the timing of vendor invoicing and payments.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Investing activities</w:t>
      </w:r>
    </w:p>
    <w:p>
      <w:pPr>
        <w:spacing w:after="0" w:line="117"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20"/>
          <w:szCs w:val="20"/>
          <w:color w:val="auto"/>
        </w:rPr>
        <w:t>During the year ended December 31, 2025, net cash used in investing activities was $93.5 million, consisting primarily of purchases of short-term investments of $385.9 million, net of maturities of short-term investments of $292.6 million.</w:t>
      </w:r>
    </w:p>
    <w:p>
      <w:pPr>
        <w:spacing w:after="0" w:line="167" w:lineRule="exact"/>
        <w:rPr>
          <w:sz w:val="20"/>
          <w:szCs w:val="20"/>
          <w:color w:val="auto"/>
        </w:rPr>
      </w:pPr>
    </w:p>
    <w:p>
      <w:pPr>
        <w:ind w:right="70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2024, net cash used in investing activities was $59.5 million, consisting primarily of purchases of short-term investments of $290.6 million, net of maturities of short-term investments of $231.6 million and purchases of property and equipment of $0.5 million.</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activities</w:t>
      </w:r>
    </w:p>
    <w:p>
      <w:pPr>
        <w:spacing w:after="0" w:line="118"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color w:val="auto"/>
        </w:rPr>
        <w:t>During the year ended December 31, 2025, net cash provided by financing activities was $2.4 million, consisting primarily of proceeds from the exercise of stock options.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116</w:t>
      </w:r>
    </w:p>
    <w:p>
      <w:pPr>
        <w:sectPr>
          <w:pgSz w:w="12240" w:h="15840" w:orient="portrait"/>
          <w:cols w:equalWidth="0" w:num="1">
            <w:col w:w="10440"/>
          </w:cols>
          <w:pgMar w:left="900" w:top="925" w:right="900" w:bottom="371" w:gutter="0" w:footer="0" w:header="0"/>
        </w:sectPr>
      </w:pPr>
    </w:p>
    <w:bookmarkStart w:id="121" w:name="page122"/>
    <w:bookmarkEnd w:id="121"/>
    <w:p>
      <w:pPr>
        <w:ind w:right="6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2024, net cash provided by financing activities was $418.9 million, consisting of $268.8 million in net proceeds from our IPO after deducting underwriters discounts and commissions, and offering costs, $149.9 million in net proceeds from the issuance of Series B Preferred Stock and $0.2 million in proceeds from the exercise of stock options.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Funding requirements</w:t>
      </w:r>
    </w:p>
    <w:p>
      <w:pPr>
        <w:spacing w:after="0" w:line="124"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We expect our research and development and general and administrative expenses and our operating losses will increase in the future as we advance verekitug through clinical trials and any potential future product candidates that we may develop through preclinical studies and clinical trials, in pursuit of regulatory approval. Due to the numerous risks and uncertainties associated with research, development and commercialization of product candidates, changes in the outcome of any factors with respect to the development of a product candidate could mean a significant change in the costs and timing associated with the development of that product candidate. In addition, we expect to incur increased expenses associated with operating as a public company. Our future capital requirements, both short- and long-term, will depend on a variety of factors, including, but not limited to:</w:t>
      </w:r>
    </w:p>
    <w:p>
      <w:pPr>
        <w:spacing w:after="0" w:line="94" w:lineRule="exact"/>
        <w:rPr>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rate of progress in the development of verekitug and our potential future product candidates, if any;</w:t>
      </w:r>
    </w:p>
    <w:p>
      <w:pPr>
        <w:spacing w:after="0" w:line="119" w:lineRule="exact"/>
        <w:rPr>
          <w:rFonts w:ascii="Symbol" w:cs="Symbol" w:eastAsia="Symbol" w:hAnsi="Symbol"/>
          <w:sz w:val="20"/>
          <w:szCs w:val="20"/>
          <w:color w:val="auto"/>
        </w:rPr>
      </w:pPr>
    </w:p>
    <w:p>
      <w:pPr>
        <w:ind w:left="980" w:right="140" w:hanging="484"/>
        <w:spacing w:after="0" w:line="262"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scope, progress, results and costs of non-clinical studies, preclinical development, laboratory testing and clinical trials for verekitug and any potential future product candidates and associated development programs;</w:t>
      </w:r>
    </w:p>
    <w:p>
      <w:pPr>
        <w:spacing w:after="0" w:line="75" w:lineRule="exact"/>
        <w:rPr>
          <w:rFonts w:ascii="Symbol" w:cs="Symbol" w:eastAsia="Symbol" w:hAnsi="Symbol"/>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number and scope of preclinical studies and clinical trials that we pursue;</w:t>
      </w:r>
    </w:p>
    <w:p>
      <w:pPr>
        <w:spacing w:after="0" w:line="119" w:lineRule="exact"/>
        <w:rPr>
          <w:rFonts w:ascii="Symbol" w:cs="Symbol" w:eastAsia="Symbol" w:hAnsi="Symbol"/>
          <w:sz w:val="20"/>
          <w:szCs w:val="20"/>
          <w:color w:val="auto"/>
        </w:rPr>
      </w:pPr>
    </w:p>
    <w:p>
      <w:pPr>
        <w:ind w:left="980" w:right="100" w:hanging="484"/>
        <w:spacing w:after="0" w:line="247"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timing, and outcomes of seeking and obtaining approvals by the FDA and comparable foreign regulatory authorities, including the potential for such authorities to require that we perform more preclinical studies or clinical trials than those that we currently expect or for such authorities to change their requirements on studies that had previously been agreed to;</w:t>
      </w:r>
    </w:p>
    <w:p>
      <w:pPr>
        <w:spacing w:after="0" w:line="91" w:lineRule="exact"/>
        <w:rPr>
          <w:rFonts w:ascii="Symbol" w:cs="Symbol" w:eastAsia="Symbol" w:hAnsi="Symbol"/>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our ability to establish licensing or collaboration agreements or other strategic agreements;</w:t>
      </w:r>
    </w:p>
    <w:p>
      <w:pPr>
        <w:spacing w:after="0" w:line="119" w:lineRule="exact"/>
        <w:rPr>
          <w:rFonts w:ascii="Symbol" w:cs="Symbol" w:eastAsia="Symbol" w:hAnsi="Symbol"/>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achievement of milestones or other developments under any licensing or collaboration agreements;</w:t>
      </w:r>
    </w:p>
    <w:p>
      <w:pPr>
        <w:spacing w:after="0" w:line="119" w:lineRule="exact"/>
        <w:rPr>
          <w:rFonts w:ascii="Symbol" w:cs="Symbol" w:eastAsia="Symbol" w:hAnsi="Symbol"/>
          <w:sz w:val="20"/>
          <w:szCs w:val="20"/>
          <w:color w:val="auto"/>
        </w:rPr>
      </w:pPr>
    </w:p>
    <w:p>
      <w:pPr>
        <w:ind w:left="980" w:right="520" w:hanging="484"/>
        <w:spacing w:after="0" w:line="261"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extent to which we are obligated to reimburse, or entitled to reimbursement of, clinical trial costs under any license or collaboration agreements;</w:t>
      </w:r>
    </w:p>
    <w:p>
      <w:pPr>
        <w:spacing w:after="0" w:line="77" w:lineRule="exact"/>
        <w:rPr>
          <w:rFonts w:ascii="Symbol" w:cs="Symbol" w:eastAsia="Symbol" w:hAnsi="Symbol"/>
          <w:sz w:val="20"/>
          <w:szCs w:val="20"/>
          <w:color w:val="auto"/>
        </w:rPr>
      </w:pPr>
    </w:p>
    <w:p>
      <w:pPr>
        <w:ind w:left="980" w:hanging="484"/>
        <w:spacing w:after="0" w:line="250"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to establish, maintain, expand, enforce,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spacing w:after="0" w:line="90" w:lineRule="exact"/>
        <w:rPr>
          <w:rFonts w:ascii="Symbol" w:cs="Symbol" w:eastAsia="Symbol" w:hAnsi="Symbol"/>
          <w:sz w:val="20"/>
          <w:szCs w:val="20"/>
          <w:color w:val="auto"/>
        </w:rPr>
      </w:pPr>
    </w:p>
    <w:p>
      <w:pPr>
        <w:ind w:left="980" w:right="880" w:hanging="484"/>
        <w:spacing w:after="0" w:line="262"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associated with successfully defending against any claims by third parties that we have infringed, misappropriated or otherwise violated any intellectual property of any such third party;</w:t>
      </w:r>
    </w:p>
    <w:p>
      <w:pPr>
        <w:spacing w:after="0" w:line="75" w:lineRule="exact"/>
        <w:rPr>
          <w:rFonts w:ascii="Symbol" w:cs="Symbol" w:eastAsia="Symbol" w:hAnsi="Symbol"/>
          <w:sz w:val="20"/>
          <w:szCs w:val="20"/>
          <w:color w:val="auto"/>
        </w:rPr>
      </w:pPr>
    </w:p>
    <w:p>
      <w:pPr>
        <w:ind w:left="980" w:right="20" w:hanging="484"/>
        <w:spacing w:after="0" w:line="262"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acquiring, licensing, or investing in additional businesses, products, product candidates, and technologies that we may identify;</w:t>
      </w:r>
    </w:p>
    <w:p>
      <w:pPr>
        <w:spacing w:after="0" w:line="75" w:lineRule="exact"/>
        <w:rPr>
          <w:rFonts w:ascii="Symbol" w:cs="Symbol" w:eastAsia="Symbol" w:hAnsi="Symbol"/>
          <w:sz w:val="20"/>
          <w:szCs w:val="20"/>
          <w:color w:val="auto"/>
        </w:rPr>
      </w:pPr>
    </w:p>
    <w:p>
      <w:pPr>
        <w:jc w:val="both"/>
        <w:ind w:left="980" w:right="500" w:hanging="484"/>
        <w:spacing w:after="0" w:line="262"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to manufacture or to have manufactured sufficient, reliable, timely, and affordable supply of materials including commercial-grade product formulations that can be used in clinical trials and for commercial launch;</w:t>
      </w:r>
    </w:p>
    <w:p>
      <w:pPr>
        <w:spacing w:after="0" w:line="76" w:lineRule="exact"/>
        <w:rPr>
          <w:rFonts w:ascii="Symbol" w:cs="Symbol" w:eastAsia="Symbol" w:hAnsi="Symbol"/>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commercializing product candidates, if approved, whether alone or in collaboration with others;</w:t>
      </w:r>
    </w:p>
    <w:p>
      <w:pPr>
        <w:spacing w:after="0" w:line="118" w:lineRule="exact"/>
        <w:rPr>
          <w:rFonts w:ascii="Symbol" w:cs="Symbol" w:eastAsia="Symbol" w:hAnsi="Symbol"/>
          <w:sz w:val="20"/>
          <w:szCs w:val="20"/>
          <w:color w:val="auto"/>
        </w:rPr>
      </w:pPr>
    </w:p>
    <w:p>
      <w:pPr>
        <w:ind w:left="980" w:right="160" w:hanging="484"/>
        <w:spacing w:after="0" w:line="262"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amount of revenue, if any, received from commercial sales of our product candidates, should any of our product candidates receive marketing approval;</w:t>
      </w:r>
    </w:p>
    <w:p>
      <w:pPr>
        <w:spacing w:after="0" w:line="76" w:lineRule="exact"/>
        <w:rPr>
          <w:rFonts w:ascii="Symbol" w:cs="Symbol" w:eastAsia="Symbol" w:hAnsi="Symbol"/>
          <w:sz w:val="20"/>
          <w:szCs w:val="20"/>
          <w:color w:val="auto"/>
        </w:rPr>
      </w:pPr>
    </w:p>
    <w:p>
      <w:pPr>
        <w:ind w:left="980" w:right="940" w:hanging="484"/>
        <w:spacing w:after="0" w:line="261"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costs of building or contracting sales, marketing, and/or distribution capabilities, systems, and internal infrastructure for any product candidate that receives marketing approval;</w:t>
      </w:r>
    </w:p>
    <w:p>
      <w:pPr>
        <w:spacing w:after="0" w:line="77" w:lineRule="exact"/>
        <w:rPr>
          <w:rFonts w:ascii="Symbol" w:cs="Symbol" w:eastAsia="Symbol" w:hAnsi="Symbol"/>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impact of competitors’ product candidates and technological advances and other market developments;</w:t>
      </w:r>
    </w:p>
    <w:p>
      <w:pPr>
        <w:spacing w:after="0" w:line="118" w:lineRule="exact"/>
        <w:rPr>
          <w:rFonts w:ascii="Symbol" w:cs="Symbol" w:eastAsia="Symbol" w:hAnsi="Symbol"/>
          <w:sz w:val="20"/>
          <w:szCs w:val="20"/>
          <w:color w:val="auto"/>
        </w:rPr>
      </w:pPr>
    </w:p>
    <w:p>
      <w:pPr>
        <w:ind w:left="980" w:hanging="484"/>
        <w:spacing w:after="0"/>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expenses needed to attract and retain skilled personnel; and</w:t>
      </w:r>
    </w:p>
    <w:p>
      <w:pPr>
        <w:spacing w:after="0" w:line="119" w:lineRule="exact"/>
        <w:rPr>
          <w:rFonts w:ascii="Symbol" w:cs="Symbol" w:eastAsia="Symbol" w:hAnsi="Symbol"/>
          <w:sz w:val="20"/>
          <w:szCs w:val="20"/>
          <w:color w:val="auto"/>
        </w:rPr>
      </w:pPr>
    </w:p>
    <w:p>
      <w:pPr>
        <w:jc w:val="both"/>
        <w:ind w:left="980" w:right="120" w:hanging="484"/>
        <w:spacing w:after="0" w:line="250" w:lineRule="auto"/>
        <w:tabs>
          <w:tab w:leader="none" w:pos="980" w:val="left"/>
        </w:tabs>
        <w:numPr>
          <w:ilvl w:val="0"/>
          <w:numId w:val="60"/>
        </w:numPr>
        <w:rPr>
          <w:rFonts w:ascii="Symbol" w:cs="Symbol" w:eastAsia="Symbol" w:hAnsi="Symbol"/>
          <w:sz w:val="20"/>
          <w:szCs w:val="20"/>
          <w:color w:val="auto"/>
        </w:rPr>
      </w:pPr>
      <w:r>
        <w:rPr>
          <w:rFonts w:ascii="Times New Roman" w:cs="Times New Roman" w:eastAsia="Times New Roman" w:hAnsi="Times New Roman"/>
          <w:sz w:val="20"/>
          <w:szCs w:val="20"/>
          <w:color w:val="auto"/>
        </w:rPr>
        <w:t>the size of the markets and degree of market acceptance of any product candidates in territories in which we receive regulatory approval, including product pricing, product coverage, and the adequacy of reimbursement by third-party payors.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117</w:t>
      </w:r>
    </w:p>
    <w:p>
      <w:pPr>
        <w:sectPr>
          <w:pgSz w:w="12240" w:h="15840" w:orient="portrait"/>
          <w:cols w:equalWidth="0" w:num="1">
            <w:col w:w="10400"/>
          </w:cols>
          <w:pgMar w:left="900" w:top="929" w:right="940" w:bottom="371" w:gutter="0" w:footer="0" w:header="0"/>
        </w:sectPr>
      </w:pPr>
    </w:p>
    <w:bookmarkStart w:id="122" w:name="page123"/>
    <w:bookmarkEnd w:id="122"/>
    <w:p>
      <w:pPr>
        <w:ind w:right="100"/>
        <w:spacing w:after="0" w:line="259" w:lineRule="auto"/>
        <w:rPr>
          <w:sz w:val="20"/>
          <w:szCs w:val="20"/>
          <w:color w:val="auto"/>
        </w:rPr>
      </w:pPr>
      <w:r>
        <w:rPr>
          <w:rFonts w:ascii="Times New Roman" w:cs="Times New Roman" w:eastAsia="Times New Roman" w:hAnsi="Times New Roman"/>
          <w:sz w:val="20"/>
          <w:szCs w:val="20"/>
          <w:color w:val="auto"/>
        </w:rPr>
        <w:t>Our business plans may change in the future and we will continue to require additional capital to meet the needs of our operating expenses. See the section titled “Risk factors—Risks related to our limited operating history, financial condition and need for additional capital” included elsewhere in this Annual Report.</w:t>
      </w:r>
    </w:p>
    <w:p>
      <w:pPr>
        <w:spacing w:after="0" w:line="185"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We believe that our existing cash, cash equivalents and short-term investments will be sufficient to fund our operating expenses and capital expenditure requirements through 2027. We have based this estimate on assumptions that may prove to be wrong, and we could utilize our available capital resources sooner than we expect.</w:t>
      </w:r>
    </w:p>
    <w:p>
      <w:pPr>
        <w:spacing w:after="0" w:line="18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would be required to delay, scale back or discontinue our research, product development or future commercialization efforts, or grant rights to develop and market product candidates that we would otherwise prefer to develop and market ourselves.</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Contractual obligations and other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acquisition from Astellas and related letter agreement with Astellas and Regeneron</w:t>
      </w:r>
    </w:p>
    <w:p>
      <w:pPr>
        <w:spacing w:after="0" w:line="119" w:lineRule="exact"/>
        <w:rPr>
          <w:sz w:val="20"/>
          <w:szCs w:val="20"/>
          <w:color w:val="auto"/>
        </w:rPr>
      </w:pPr>
    </w:p>
    <w:p>
      <w:pPr>
        <w:ind w:right="740"/>
        <w:spacing w:after="0" w:line="278" w:lineRule="auto"/>
        <w:rPr>
          <w:sz w:val="20"/>
          <w:szCs w:val="20"/>
          <w:color w:val="auto"/>
        </w:rPr>
      </w:pPr>
      <w:r>
        <w:rPr>
          <w:rFonts w:ascii="Times New Roman" w:cs="Times New Roman" w:eastAsia="Times New Roman" w:hAnsi="Times New Roman"/>
          <w:sz w:val="20"/>
          <w:szCs w:val="20"/>
          <w:color w:val="auto"/>
        </w:rPr>
        <w:t>In October 2021, we entered into the Astellas Asset Purchase Agreement with Astellas, and concurrently entered into the Regeneron Letter Agreement with Astellas and Regeneron.</w:t>
      </w:r>
    </w:p>
    <w:p>
      <w:pPr>
        <w:spacing w:after="0" w:line="16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Under the Regeneron Letter Agreement, Astellas assigned and transferred to us and we assumed and accepted certain of Astellas’ surviving rights and obligations under the Terminated Regeneron License Agreement. By assuming and accepting Astellas’ surviving obligations under the Terminated Regeneron License Agreement, we are required to pay Regeneron mid-single-digit percentage royalties on aggregate worldwide net sales of a Royalty Product during the royalty term.</w:t>
      </w:r>
    </w:p>
    <w:p>
      <w:pPr>
        <w:spacing w:after="0" w:line="19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20"/>
          <w:szCs w:val="20"/>
          <w:color w:val="auto"/>
        </w:rPr>
        <w:t>The royalties are determined on a product-by-product and country-by-country basis and expire on the later of (i) a specified number of years after the launch of a given Royalty Product in a given country and (ii) the expiration of the last valid claim of royalty bearing company patent rights claiming or covering such Royalty Product in such country.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date, we have not made any royalty payments to Regeneron under the Regeneron Letter Agreement.</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Lonza</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As consideration for the rights and licenses granted to us under the Lonza License Agreement, we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we entered into a sublicense with Wuxi Biologics (Hong Kong) Limited to manufacture the Compound, requiring us to pay a mid-six-figure annual fee to Lonza pursuant to this provision.</w:t>
      </w:r>
    </w:p>
    <w:p>
      <w:pPr>
        <w:spacing w:after="0" w:line="20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Any royalties due under the Lonza License Agreement are payable on a country-by-country basis until ten years from the first commercial sale of the Compound in that particular country.</w:t>
      </w:r>
    </w:p>
    <w:p>
      <w:pPr>
        <w:spacing w:after="0" w:line="16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During the years ended December 31, 2025 and 2024, we did not make any royalty payments to Lonza under the Lonza License Agreement. The Lonza agreement continues for an indefinite period of time unless otherwise terminated. We have the right to terminate the Lonza License Agreement at any time by providing prior written notice to Lonza.</w:t>
      </w:r>
    </w:p>
    <w:p>
      <w:pPr>
        <w:spacing w:after="0" w:line="178"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20"/>
          <w:szCs w:val="20"/>
          <w:color w:val="auto"/>
        </w:rPr>
        <w:t>During the years ended December 31, 2025 and 2024, we made an annual payment to Lonza in the amount of $0.5 million pursuant to the Lonza License Agreement. These payments were recognized as research and development expense in the consolidated statements of operations and comprehensive loss.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118</w:t>
      </w:r>
    </w:p>
    <w:p>
      <w:pPr>
        <w:sectPr>
          <w:pgSz w:w="12240" w:h="15840" w:orient="portrait"/>
          <w:cols w:equalWidth="0" w:num="1">
            <w:col w:w="10420"/>
          </w:cols>
          <w:pgMar w:left="900" w:top="929" w:right="920" w:bottom="371"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b w:val="1"/>
          <w:bCs w:val="1"/>
          <w:i w:val="1"/>
          <w:iCs w:val="1"/>
          <w:color w:val="auto"/>
        </w:rPr>
        <w:t>Lease agreement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In July 2024, we entered into a three-year agreement for office space located at 890 Winter Street in Waltham, Massachusetts. We began paying monthly rent starting one month after lease commencement. Initial base rent was approximately $0.7 million for the first year and approximately $0.8 million for the second and third year. The lease commenced in September 2024.</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w:t>
      </w:r>
    </w:p>
    <w:p>
      <w:pPr>
        <w:spacing w:after="0" w:line="12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We enter into contracts in the normal course of business with CROs and investigator sites that conduct clinical trials on our behalf, CMOs that manufacture product candidates for use in our preclinical studies and clinical trials, and third-party vendors, including CROs, that conduct research and preclinical studies on our behalf. Prepayments under these arrangements can generally be repurposed or the services themselves cancelable upon prior written notice, though cancellation fees are likely. Payments due upon cancellation consist only of payments for services provided and expenses incurred up to the date of cancellation.</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 and significant judgments</w:t>
      </w:r>
    </w:p>
    <w:p>
      <w:pPr>
        <w:spacing w:after="0" w:line="12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consolidated financial statements, which have been prepared in accordance with U.S. Generally Accepted Accounting Principles (“U.S. GAAP”). The preparation of our financial statements and related disclosures requires us to make estimates and assumptions that affect the reported amounts of assets and liabilities, revenues and expenses, and the disclosure of contingent assets and liabilities at the date of the consolidated financial statements. We base our estimates on historical experience, known trends and events, and on various other factors that we believe are reasonable under the circumstances, the results of which form the basis for making judgments about the carrying values of assets and liabilities and revenues and expenses that are not readily apparent from other sources. We evaluate our estimates and assumptions on an ongoing basis. Our actual results may differ from these estimates under different assumptions or conditions.</w:t>
      </w:r>
    </w:p>
    <w:p>
      <w:pPr>
        <w:spacing w:after="0" w:line="20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While our significant accounting policies are described in more detail in Note 2 to our consolidated financial statements included elsewhere in this Annual Report, we believe that the following accounting policies are those most critical to the judgments and estimates used in the preparation of our financial statements.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and accrued research and development expenses</w: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As part of the process of preparing our consolidated financial statements, we are required to estimate our research and development expenses. This process involves reviewing open contracts and purchase orders, communicating with our personnel to identify services that have been performed on our behalf, and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advanced payments. We make estimates of our accrued expenses as of each balance sheet date in our consolidated financial statements based on facts and circumstances known to us at that time. Examples of estimated accrued research and development expenses include:</w:t>
      </w:r>
    </w:p>
    <w:p>
      <w:pPr>
        <w:spacing w:after="0" w:line="96" w:lineRule="exact"/>
        <w:rPr>
          <w:sz w:val="20"/>
          <w:szCs w:val="20"/>
          <w:color w:val="auto"/>
        </w:rPr>
      </w:pPr>
    </w:p>
    <w:p>
      <w:pPr>
        <w:ind w:left="980" w:right="120" w:hanging="484"/>
        <w:spacing w:after="0" w:line="262" w:lineRule="auto"/>
        <w:tabs>
          <w:tab w:leader="none" w:pos="98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incurred under agreements with third parties, including CROs and investigative sites that conduct research, preclinical studies and clinical trials on our behalf, and in connection with the Maruho License Agreement;</w:t>
      </w:r>
    </w:p>
    <w:p>
      <w:pPr>
        <w:spacing w:after="0" w:line="75" w:lineRule="exact"/>
        <w:rPr>
          <w:rFonts w:ascii="Symbol" w:cs="Symbol" w:eastAsia="Symbol" w:hAnsi="Symbol"/>
          <w:sz w:val="20"/>
          <w:szCs w:val="20"/>
          <w:color w:val="auto"/>
        </w:rPr>
      </w:pPr>
    </w:p>
    <w:p>
      <w:pPr>
        <w:ind w:left="980" w:right="240" w:hanging="484"/>
        <w:spacing w:after="0" w:line="262" w:lineRule="auto"/>
        <w:tabs>
          <w:tab w:leader="none" w:pos="98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expenses incurred under agreements with third parties, including CMOs, that develop and manufacture our product candidate for use in our preclinical studies and clinical trials; and</w:t>
      </w:r>
    </w:p>
    <w:p>
      <w:pPr>
        <w:spacing w:after="0" w:line="76" w:lineRule="exact"/>
        <w:rPr>
          <w:rFonts w:ascii="Symbol" w:cs="Symbol" w:eastAsia="Symbol" w:hAnsi="Symbol"/>
          <w:sz w:val="20"/>
          <w:szCs w:val="20"/>
          <w:color w:val="auto"/>
        </w:rPr>
      </w:pPr>
    </w:p>
    <w:p>
      <w:pPr>
        <w:ind w:left="980" w:hanging="484"/>
        <w:spacing w:after="0"/>
        <w:tabs>
          <w:tab w:leader="none" w:pos="980" w:val="left"/>
        </w:tabs>
        <w:numPr>
          <w:ilvl w:val="0"/>
          <w:numId w:val="61"/>
        </w:numPr>
        <w:rPr>
          <w:rFonts w:ascii="Symbol" w:cs="Symbol" w:eastAsia="Symbol" w:hAnsi="Symbol"/>
          <w:sz w:val="20"/>
          <w:szCs w:val="20"/>
          <w:color w:val="auto"/>
        </w:rPr>
      </w:pPr>
      <w:r>
        <w:rPr>
          <w:rFonts w:ascii="Times New Roman" w:cs="Times New Roman" w:eastAsia="Times New Roman" w:hAnsi="Times New Roman"/>
          <w:sz w:val="20"/>
          <w:szCs w:val="20"/>
          <w:color w:val="auto"/>
        </w:rPr>
        <w:t>other providers and vendors in connection with research and development activities.</w:t>
      </w:r>
    </w:p>
    <w:p>
      <w:pPr>
        <w:spacing w:after="0" w:line="224"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0"/>
          <w:szCs w:val="20"/>
          <w:color w:val="auto"/>
        </w:rPr>
        <w:t>We base our expenses related to preclinical studies and clinical trials on our estimates of the services received and efforts expended pursuant to quotes and contracts with multiple CROs, investigative sites, CMOs, and third-party vendors that conduct research, preclinical studies, and conduct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w:t>
      </w:r>
    </w:p>
    <w:p>
      <w:pPr>
        <w:spacing w:after="0" w:line="19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accrual or amount of prepaid expense accordingly. Although</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119</w:t>
      </w:r>
    </w:p>
    <w:p>
      <w:pPr>
        <w:sectPr>
          <w:pgSz w:w="12240" w:h="15840" w:orient="portrait"/>
          <w:cols w:equalWidth="0" w:num="1">
            <w:col w:w="10440"/>
          </w:cols>
          <w:pgMar w:left="900" w:top="929" w:right="900" w:bottom="371" w:gutter="0" w:footer="0" w:header="0"/>
        </w:sectPr>
      </w:pPr>
    </w:p>
    <w:bookmarkStart w:id="124" w:name="page125"/>
    <w:bookmarkEnd w:id="124"/>
    <w:p>
      <w:pPr>
        <w:ind w:right="320"/>
        <w:spacing w:after="0" w:line="252" w:lineRule="auto"/>
        <w:rPr>
          <w:sz w:val="20"/>
          <w:szCs w:val="20"/>
          <w:color w:val="auto"/>
        </w:rPr>
      </w:pPr>
      <w:r>
        <w:rPr>
          <w:rFonts w:ascii="Times New Roman" w:cs="Times New Roman" w:eastAsia="Times New Roman" w:hAnsi="Times New Roman"/>
          <w:sz w:val="20"/>
          <w:szCs w:val="20"/>
          <w:color w:val="auto"/>
        </w:rPr>
        <w:t>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 of accrued research and development expenses.</w:t>
      </w:r>
    </w:p>
    <w:p>
      <w:pPr>
        <w:spacing w:after="0" w:line="19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also record advance payments to service providers as prepaid expenses and other current assets, which are expensed as the contracted services are performed. If the actual timing of the performance of services varies from the estimate, then we adjust the amount of the accrued expense or the prepaid expense accordingly.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We measure stock-based awards granted to employees, directors, and non-employee service providers based on their fair value on the date of the grant and recognize compensation expense for those awards over the requisite service period, which is generally the vesting period of the respective award. Generally, we issue stock option awards with service-based vesting conditions and record the expense for these awards using the straight-line method such that the aggregate amount of expense recognized is at least the fair value of what was legally vested. In March and April 2024, we granted awards with performance-based conditions to our Chief Executive Officer and Chief Financial Officer. Upon achievement of the performance condition, in April 2024, the stock-based compensation for our performance-based stock options was solely subject to continued service until the fourth anniversary of the issuance of Series B Preferred Stock to settle the Series B tranche right.</w:t>
      </w:r>
    </w:p>
    <w:p>
      <w:pPr>
        <w:spacing w:after="0" w:line="8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Prior to our IPO in October 2024, there was no public market for our common stock. As a result, prior to our IPO, the estimated fair value of our common stock was determined by our board of directors as of the date of each option grant, with the input from management, considering our more recently available third-party valuations of common stock and our board of directors’ assessment of additional objective and subjective factors that it believe were relevant and which may have changed from the date of the most recent valuation through the date of grant. Following our IPO, the fair value of our common stock is determined based on the quoted market price of our common stock.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and adopted accounting pronouncements</w:t>
      </w:r>
    </w:p>
    <w:p>
      <w:pPr>
        <w:spacing w:after="0" w:line="120"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color w:val="auto"/>
        </w:rPr>
        <w:t>A description of recently issued accounting pronouncements that may potentially impact our financial position and results of operations is disclosed in Note 2 to our consolidated financial statements included elsewhere in this Annual Report.</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Emerging growth company and smaller reporting company status</w:t>
      </w:r>
    </w:p>
    <w:p>
      <w:pPr>
        <w:spacing w:after="0" w:line="124"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Jumpstart Our Business Startups Act of 2012 (the “JOBS Act”),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effective dates for public and private companies, we will adopt the new or revised standard at the time private companies adopt the new or revised standard and will do so until the earlier of the date that we (i) are no longer an emerging growth company or (ii) irrevocably elect to “opt out” of the extended transition period provided in the JOBS Act. As a result, our consolidated financial statements may not be comparable to companies that comply with the new or revised accounting pronouncements as of public company effective dates. We may choose to early adopt any new or revised accounting standards whenever such early adoption is permitted for non-public companies.</w:t>
      </w:r>
    </w:p>
    <w:p>
      <w:pPr>
        <w:spacing w:after="0" w:line="20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are also a “smaller reporting company,” as defined in the Securities Exchange Act of 1934, as amended. We may continue to be a smaller reporting company if either (i) the market value of our common stock and non-voting common stock held by non-affiliates is less than $250.0 million measured on the last business day of our second fiscal quarter or (ii) our annual revenue is less than $100.0 million during the most recently completed fiscal year and the market value of our common stock and non-voting common stock held by non-affiliates is less than $700.0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120</w:t>
      </w:r>
    </w:p>
    <w:p>
      <w:pPr>
        <w:sectPr>
          <w:pgSz w:w="12240" w:h="15840" w:orient="portrait"/>
          <w:cols w:equalWidth="0" w:num="1">
            <w:col w:w="10440"/>
          </w:cols>
          <w:pgMar w:left="900" w:top="929" w:right="900" w:bottom="371"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a smaller reporting company, we are not required to provide this information.</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3"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0"/>
          <w:szCs w:val="20"/>
          <w:color w:val="auto"/>
        </w:rPr>
        <w:t>The financial statements required to be filed pursuant to this Item 8 are included in this Annual Report on Form 10-K (this “Annual Report”) beginning on page F-1. An index of those financial statements is found in Item 15, Exhibits and Financial Statement Schedules, of this Annual Report.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evaluation of disclosure controls and procedures</w:t>
      </w:r>
    </w:p>
    <w:p>
      <w:pPr>
        <w:spacing w:after="0" w:line="1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We maintain disclosure controls and procedures that are designed to ensure that information required to be disclosed by us in the reports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designing and evaluating the disclosure controls and procedures, our management recognizes that any controls and procedures, no matter how well designed and operated, can provide only reasonable assurance of achieving the desired control objectives. As required by Rule 13a-15(b) or Rule 15d-15(b) promulgated by the SEC under the Exchange Act, we carried out an evaluation, under the supervision and with the participation of our management, including our principal executive officer (our Chief Executive Officer) and principal financial officer (our Chief Financial and Operating Officer), of the effectiveness of the design and operation of our disclosure controls and procedures as of the end of the period covered by this Annual Report on Form 10-K (this “Annual Report”). Based on the foregoing, our principal executive officer and principal financial officer concluded that our disclosure controls and procedures were effective as of the end of the period covered by this Annual Report at the reasonable assurance level.</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controls over financial reporting</w:t>
      </w:r>
    </w:p>
    <w:p>
      <w:pPr>
        <w:spacing w:after="0" w:line="23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our financial reporting. Internal control over financial reporting is defined in Rules 13a-15(f) and 15d -15(f)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United States generally accepted accounting principles (“GAAP”). Our internal control over financial reporting includes those policies and procedures that:</w:t>
      </w:r>
    </w:p>
    <w:p>
      <w:pPr>
        <w:spacing w:after="0" w:line="214" w:lineRule="exact"/>
        <w:rPr>
          <w:sz w:val="20"/>
          <w:szCs w:val="20"/>
          <w:color w:val="auto"/>
        </w:rPr>
      </w:pPr>
    </w:p>
    <w:p>
      <w:pPr>
        <w:ind w:left="720" w:right="700" w:hanging="353"/>
        <w:spacing w:after="0" w:line="262" w:lineRule="auto"/>
        <w:tabs>
          <w:tab w:leader="none" w:pos="72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pertain to the maintenance of records that, in reasonable detail, accurately, and fairly reflect our transactions and dispositions of our assets;</w:t>
      </w:r>
    </w:p>
    <w:p>
      <w:pPr>
        <w:spacing w:after="0" w:line="195" w:lineRule="exact"/>
        <w:rPr>
          <w:rFonts w:ascii="Symbol" w:cs="Symbol" w:eastAsia="Symbol" w:hAnsi="Symbol"/>
          <w:sz w:val="20"/>
          <w:szCs w:val="20"/>
          <w:color w:val="auto"/>
        </w:rPr>
      </w:pPr>
    </w:p>
    <w:p>
      <w:pPr>
        <w:ind w:left="720" w:right="20" w:hanging="353"/>
        <w:spacing w:after="0" w:line="251" w:lineRule="auto"/>
        <w:tabs>
          <w:tab w:leader="none" w:pos="72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207" w:lineRule="exact"/>
        <w:rPr>
          <w:rFonts w:ascii="Symbol" w:cs="Symbol" w:eastAsia="Symbol" w:hAnsi="Symbol"/>
          <w:sz w:val="20"/>
          <w:szCs w:val="20"/>
          <w:color w:val="auto"/>
        </w:rPr>
      </w:pPr>
    </w:p>
    <w:p>
      <w:pPr>
        <w:ind w:left="720" w:right="100" w:hanging="353"/>
        <w:spacing w:after="0" w:line="262" w:lineRule="auto"/>
        <w:tabs>
          <w:tab w:leader="none" w:pos="720" w:val="left"/>
        </w:tabs>
        <w:numPr>
          <w:ilvl w:val="0"/>
          <w:numId w:val="62"/>
        </w:numPr>
        <w:rPr>
          <w:rFonts w:ascii="Symbol" w:cs="Symbol" w:eastAsia="Symbol" w:hAnsi="Symbol"/>
          <w:sz w:val="20"/>
          <w:szCs w:val="20"/>
          <w:color w:val="auto"/>
        </w:rPr>
      </w:pPr>
      <w:r>
        <w:rPr>
          <w:rFonts w:ascii="Times New Roman" w:cs="Times New Roman" w:eastAsia="Times New Roman" w:hAnsi="Times New Roman"/>
          <w:sz w:val="20"/>
          <w:szCs w:val="20"/>
          <w:color w:val="auto"/>
        </w:rPr>
        <w:t>provide reasonable assurance regarding prevention or timely detection of unauthorized acquisition, use or disposition of our assets that could have a material effect on our financial statements.</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0"/>
          <w:szCs w:val="20"/>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121</w:t>
      </w:r>
    </w:p>
    <w:p>
      <w:pPr>
        <w:sectPr>
          <w:pgSz w:w="12240" w:h="15840" w:orient="portrait"/>
          <w:cols w:equalWidth="0" w:num="1">
            <w:col w:w="10420"/>
          </w:cols>
          <w:pgMar w:left="900" w:top="925" w:right="920" w:bottom="371" w:gutter="0" w:footer="0" w:header="0"/>
        </w:sectPr>
      </w:pPr>
    </w:p>
    <w:bookmarkStart w:id="126" w:name="page127"/>
    <w:bookmarkEnd w:id="126"/>
    <w:p>
      <w:pPr>
        <w:ind w:right="80"/>
        <w:spacing w:after="0" w:line="252" w:lineRule="auto"/>
        <w:rPr>
          <w:sz w:val="20"/>
          <w:szCs w:val="20"/>
          <w:color w:val="auto"/>
        </w:rPr>
      </w:pPr>
      <w:r>
        <w:rPr>
          <w:rFonts w:ascii="Times New Roman" w:cs="Times New Roman" w:eastAsia="Times New Roman" w:hAnsi="Times New Roman"/>
          <w:sz w:val="20"/>
          <w:szCs w:val="20"/>
          <w:color w:val="auto"/>
        </w:rPr>
        <w:t>Our management assessed the effectiveness of our internal control over financial reporting as of December 31, 2025. In making this assessment, management used the criteria set forth by the Committee of Sponsoring Organizations of the Treadway Commission in its 2013 Internal Control - Integrated Framework. Based on this assessment, our management has concluded that, as of December 31, 2025, our internal control over financial reporting is effective based on those criteria.</w:t>
      </w:r>
    </w:p>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Our independent registered public accounting firm will not be required to opine on the effectiveness of our internal control over financial reporting pursuant to Section 404 until we are no longer an “emerging growth company” as defined in the Jumpstart Our Business Startups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There have been no changes in our internal control over financial reporting (as defined in Rules 13a-15(f) and 15d-15(f) under the Exchange Act) during the fiscal quarter ended December 31, 2025 that have materially affected, or are reasonably likely to materially affect, our internal control over financial reporting.</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5" w:lineRule="exact"/>
        <w:rPr>
          <w:sz w:val="20"/>
          <w:szCs w:val="20"/>
          <w:color w:val="auto"/>
        </w:rPr>
      </w:pPr>
    </w:p>
    <w:p>
      <w:pPr>
        <w:ind w:left="640" w:hanging="273"/>
        <w:spacing w:after="0"/>
        <w:tabs>
          <w:tab w:leader="none" w:pos="6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w:t>
      </w:r>
    </w:p>
    <w:p>
      <w:pPr>
        <w:spacing w:after="0" w:line="229" w:lineRule="exact"/>
        <w:rPr>
          <w:rFonts w:ascii="Times New Roman" w:cs="Times New Roman" w:eastAsia="Times New Roman" w:hAnsi="Times New Roman"/>
          <w:sz w:val="20"/>
          <w:szCs w:val="20"/>
          <w:color w:val="auto"/>
        </w:rPr>
      </w:pPr>
    </w:p>
    <w:p>
      <w:pPr>
        <w:ind w:left="360" w:right="500" w:firstLine="7"/>
        <w:spacing w:after="0" w:line="278" w:lineRule="auto"/>
        <w:tabs>
          <w:tab w:leader="none" w:pos="643"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quarter ended December 31, 2025, none of our directors or officers adopted or terminated a Rule 10b5-1 trading arrangement or non-Rule 10b5-1 trading arrangement, as each term is defined in Item 408 of Regulation S-K.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122</w:t>
      </w:r>
    </w:p>
    <w:p>
      <w:pPr>
        <w:sectPr>
          <w:pgSz w:w="12240" w:h="15840" w:orient="portrait"/>
          <w:cols w:equalWidth="0" w:num="1">
            <w:col w:w="10420"/>
          </w:cols>
          <w:pgMar w:left="900" w:top="929" w:right="920" w:bottom="371" w:gutter="0" w:footer="0" w:header="0"/>
        </w:sectPr>
      </w:pPr>
    </w:p>
    <w:bookmarkStart w:id="127" w:name="page128"/>
    <w:bookmarkEnd w:id="127"/>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independent public accounting firm is PricewaterhouseCoopers LLP, Boston, Massachusetts, PCAOB Auditor ID 238.</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information required under this item is incorporated herein by reference to our definitive proxy statement pursuant to Regulation 14A, which proxy statement will be filed with the Securities and Exchange Commission not later than 120 days after the close of our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123</w:t>
      </w:r>
    </w:p>
    <w:p>
      <w:pPr>
        <w:sectPr>
          <w:pgSz w:w="12240" w:h="15840" w:orient="portrait"/>
          <w:cols w:equalWidth="0" w:num="1">
            <w:col w:w="10280"/>
          </w:cols>
          <w:pgMar w:left="900" w:top="925" w:right="1060" w:bottom="371"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and Financial Statement Schedules.</w:t>
      </w:r>
    </w:p>
    <w:p>
      <w:pPr>
        <w:spacing w:after="0" w:line="126" w:lineRule="exact"/>
        <w:rPr>
          <w:sz w:val="20"/>
          <w:szCs w:val="20"/>
          <w:color w:val="auto"/>
        </w:rPr>
      </w:pPr>
    </w:p>
    <w:p>
      <w:pPr>
        <w:ind w:left="500" w:hanging="493"/>
        <w:spacing w:after="0"/>
        <w:tabs>
          <w:tab w:leader="none" w:pos="500" w:val="left"/>
        </w:tabs>
        <w:numPr>
          <w:ilvl w:val="0"/>
          <w:numId w:val="64"/>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Statements.</w:t>
      </w:r>
    </w:p>
    <w:p>
      <w:pPr>
        <w:spacing w:after="0" w:line="117"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color w:val="auto"/>
        </w:rPr>
        <w:t>For a list of the financial statements included herein, see Index to the Consolidated Financial Statements on page F-1 of this Annual Report on Form 10-K, incorporated into this Item by reference.</w:t>
      </w:r>
    </w:p>
    <w:p>
      <w:pPr>
        <w:spacing w:after="0" w:line="290" w:lineRule="exact"/>
        <w:rPr>
          <w:sz w:val="20"/>
          <w:szCs w:val="20"/>
          <w:color w:val="auto"/>
        </w:rPr>
      </w:pPr>
    </w:p>
    <w:p>
      <w:pPr>
        <w:ind w:left="500" w:hanging="493"/>
        <w:spacing w:after="0"/>
        <w:tabs>
          <w:tab w:leader="none" w:pos="500" w:val="left"/>
        </w:tabs>
        <w:numPr>
          <w:ilvl w:val="0"/>
          <w:numId w:val="6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Financial Statement 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schedules are omitted because they are not applicable, or are not required by smaller reporting companies.</w:t>
      </w:r>
    </w:p>
    <w:p>
      <w:pPr>
        <w:spacing w:after="0" w:line="362" w:lineRule="exact"/>
        <w:rPr>
          <w:sz w:val="20"/>
          <w:szCs w:val="20"/>
          <w:color w:val="auto"/>
        </w:rPr>
      </w:pPr>
    </w:p>
    <w:p>
      <w:pPr>
        <w:ind w:left="500" w:hanging="493"/>
        <w:spacing w:after="0"/>
        <w:tabs>
          <w:tab w:leader="none" w:pos="500" w:val="left"/>
        </w:tabs>
        <w:numPr>
          <w:ilvl w:val="0"/>
          <w:numId w:val="66"/>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80" w:type="dxa"/>
            <w:vAlign w:val="bottom"/>
            <w:gridSpan w:val="32"/>
          </w:tcPr>
          <w:p>
            <w:pPr>
              <w:ind w:left="1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03"/>
        </w:trPr>
        <w:tc>
          <w:tcPr>
            <w:tcW w:w="116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20"/>
                <w:szCs w:val="20"/>
                <w:color w:val="auto"/>
              </w:rPr>
              <w:t>3.1</w:t>
            </w:r>
          </w:p>
        </w:tc>
        <w:tc>
          <w:tcPr>
            <w:tcW w:w="200" w:type="dxa"/>
            <w:vAlign w:val="bottom"/>
          </w:tcPr>
          <w:p>
            <w:pPr>
              <w:spacing w:after="0"/>
              <w:rPr>
                <w:sz w:val="17"/>
                <w:szCs w:val="17"/>
                <w:color w:val="auto"/>
              </w:rPr>
            </w:pPr>
          </w:p>
        </w:tc>
        <w:tc>
          <w:tcPr>
            <w:tcW w:w="9080" w:type="dxa"/>
            <w:vAlign w:val="bottom"/>
            <w:tcBorders>
              <w:top w:val="single" w:sz="8" w:color="auto"/>
            </w:tcBorders>
            <w:gridSpan w:val="38"/>
          </w:tcPr>
          <w:p>
            <w:pPr>
              <w:spacing w:after="0" w:line="204" w:lineRule="exact"/>
              <w:rPr>
                <w:sz w:val="20"/>
                <w:szCs w:val="20"/>
                <w:color w:val="auto"/>
              </w:rPr>
            </w:pPr>
            <w:r>
              <w:rPr>
                <w:rFonts w:ascii="Times New Roman" w:cs="Times New Roman" w:eastAsia="Times New Roman" w:hAnsi="Times New Roman"/>
                <w:sz w:val="20"/>
                <w:szCs w:val="20"/>
                <w:color w:val="0D248E"/>
              </w:rPr>
              <w:t>Third Amended and Restated Certificate of Incorporation of Upstream Bio, Inc. (incorporated by reference to</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tcBorders>
              <w:top w:val="single" w:sz="8" w:color="0D248E"/>
              <w:bottom w:val="single" w:sz="8" w:color="0D248E"/>
            </w:tcBorders>
            <w:gridSpan w:val="13"/>
          </w:tcPr>
          <w:p>
            <w:pPr>
              <w:spacing w:after="0" w:line="210" w:lineRule="exact"/>
              <w:rPr>
                <w:sz w:val="20"/>
                <w:szCs w:val="20"/>
                <w:color w:val="auto"/>
              </w:rPr>
            </w:pPr>
            <w:r>
              <w:rPr>
                <w:rFonts w:ascii="Times New Roman" w:cs="Times New Roman" w:eastAsia="Times New Roman" w:hAnsi="Times New Roman"/>
                <w:sz w:val="20"/>
                <w:szCs w:val="20"/>
                <w:color w:val="0D248E"/>
                <w:w w:val="99"/>
              </w:rPr>
              <w:t>Exhibit 3.1 to the Company's Current Report on Form 8-K filed on October 15, 2024).</w:t>
            </w:r>
          </w:p>
        </w:tc>
        <w:tc>
          <w:tcPr>
            <w:tcW w:w="1880" w:type="dxa"/>
            <w:vAlign w:val="bottom"/>
            <w:tcBorders>
              <w:top w:val="single" w:sz="8" w:color="0D248E"/>
            </w:tcBorders>
            <w:gridSpan w:val="16"/>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3.2</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Second Amended and Restated Bylaws of Upstream Bio, Inc. (incorporated by reference to Exhibit 3.2 to the</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60" w:type="dxa"/>
            <w:vAlign w:val="bottom"/>
            <w:tcBorders>
              <w:top w:val="single" w:sz="8" w:color="0D248E"/>
            </w:tcBorders>
            <w:gridSpan w:val="27"/>
          </w:tcPr>
          <w:p>
            <w:pPr>
              <w:spacing w:after="0" w:line="210" w:lineRule="exact"/>
              <w:rPr>
                <w:sz w:val="20"/>
                <w:szCs w:val="20"/>
                <w:color w:val="auto"/>
              </w:rPr>
            </w:pPr>
            <w:r>
              <w:rPr>
                <w:rFonts w:ascii="Times New Roman" w:cs="Times New Roman" w:eastAsia="Times New Roman" w:hAnsi="Times New Roman"/>
                <w:sz w:val="20"/>
                <w:szCs w:val="20"/>
                <w:color w:val="0D248E"/>
              </w:rPr>
              <w:t>Company’s Current Report on Form 8-K filed on October 15, 2024).</w:t>
            </w: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680" w:type="dxa"/>
            <w:vAlign w:val="bottom"/>
            <w:shd w:val="clear" w:color="auto" w:fill="0D248E"/>
          </w:tcPr>
          <w:p>
            <w:pPr>
              <w:spacing w:after="0" w:line="20" w:lineRule="exact"/>
              <w:rPr>
                <w:sz w:val="1"/>
                <w:szCs w:val="1"/>
                <w:color w:val="auto"/>
              </w:rPr>
            </w:pPr>
          </w:p>
        </w:tc>
        <w:tc>
          <w:tcPr>
            <w:tcW w:w="32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100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720" w:type="dxa"/>
            <w:vAlign w:val="bottom"/>
            <w:shd w:val="clear" w:color="auto" w:fill="0D248E"/>
          </w:tcPr>
          <w:p>
            <w:pPr>
              <w:spacing w:after="0" w:line="20" w:lineRule="exact"/>
              <w:rPr>
                <w:sz w:val="1"/>
                <w:szCs w:val="1"/>
                <w:color w:val="auto"/>
              </w:rPr>
            </w:pPr>
          </w:p>
        </w:tc>
        <w:tc>
          <w:tcPr>
            <w:tcW w:w="480" w:type="dxa"/>
            <w:vAlign w:val="bottom"/>
            <w:shd w:val="clear" w:color="auto" w:fill="0D248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Specimen Common Stock Certificate (incorporated by reference to Exhibit 4.1 to the Company’s Registration</w:t>
            </w: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20" w:type="dxa"/>
            <w:vAlign w:val="bottom"/>
            <w:tcBorders>
              <w:top w:val="single" w:sz="8" w:color="0D248E"/>
            </w:tcBorders>
            <w:gridSpan w:val="30"/>
          </w:tcPr>
          <w:p>
            <w:pPr>
              <w:spacing w:after="0" w:line="209" w:lineRule="exact"/>
              <w:rPr>
                <w:sz w:val="20"/>
                <w:szCs w:val="20"/>
                <w:color w:val="auto"/>
              </w:rPr>
            </w:pPr>
            <w:r>
              <w:rPr>
                <w:rFonts w:ascii="Times New Roman" w:cs="Times New Roman" w:eastAsia="Times New Roman" w:hAnsi="Times New Roman"/>
                <w:sz w:val="20"/>
                <w:szCs w:val="20"/>
                <w:color w:val="0D248E"/>
              </w:rPr>
              <w:t>Statement on Form S-1 filed on September 18, 2024).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680" w:type="dxa"/>
            <w:vAlign w:val="bottom"/>
            <w:shd w:val="clear" w:color="auto" w:fill="0D248E"/>
          </w:tcPr>
          <w:p>
            <w:pPr>
              <w:spacing w:after="0" w:line="20" w:lineRule="exact"/>
              <w:rPr>
                <w:sz w:val="1"/>
                <w:szCs w:val="1"/>
                <w:color w:val="auto"/>
              </w:rPr>
            </w:pPr>
          </w:p>
        </w:tc>
        <w:tc>
          <w:tcPr>
            <w:tcW w:w="320" w:type="dxa"/>
            <w:vAlign w:val="bottom"/>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1000" w:type="dxa"/>
            <w:vAlign w:val="bottom"/>
            <w:shd w:val="clear" w:color="auto" w:fill="0D248E"/>
          </w:tcPr>
          <w:p>
            <w:pPr>
              <w:spacing w:after="0" w:line="20" w:lineRule="exact"/>
              <w:rPr>
                <w:sz w:val="1"/>
                <w:szCs w:val="1"/>
                <w:color w:val="auto"/>
              </w:rPr>
            </w:pPr>
          </w:p>
        </w:tc>
        <w:tc>
          <w:tcPr>
            <w:tcW w:w="300" w:type="dxa"/>
            <w:vAlign w:val="bottom"/>
            <w:shd w:val="clear" w:color="auto" w:fill="0D248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6"/>
        </w:trPr>
        <w:tc>
          <w:tcPr>
            <w:tcW w:w="11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19"/>
                <w:szCs w:val="19"/>
                <w:color w:val="auto"/>
              </w:rPr>
            </w:pPr>
          </w:p>
        </w:tc>
        <w:tc>
          <w:tcPr>
            <w:tcW w:w="9080" w:type="dxa"/>
            <w:vAlign w:val="bottom"/>
            <w:gridSpan w:val="38"/>
          </w:tcPr>
          <w:p>
            <w:pPr>
              <w:spacing w:after="0" w:line="226" w:lineRule="exact"/>
              <w:rPr>
                <w:sz w:val="20"/>
                <w:szCs w:val="20"/>
                <w:color w:val="auto"/>
              </w:rPr>
            </w:pPr>
            <w:r>
              <w:rPr>
                <w:rFonts w:ascii="Times New Roman" w:cs="Times New Roman" w:eastAsia="Times New Roman" w:hAnsi="Times New Roman"/>
                <w:sz w:val="20"/>
                <w:szCs w:val="20"/>
                <w:color w:val="0D248E"/>
              </w:rPr>
              <w:t>Amended and Restated Investors’ Rights Agreement, among the Company and certain of its stockholders, dated</w:t>
            </w: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60" w:type="dxa"/>
            <w:vAlign w:val="bottom"/>
            <w:tcBorders>
              <w:top w:val="single" w:sz="8" w:color="0D248E"/>
            </w:tcBorders>
            <w:gridSpan w:val="35"/>
          </w:tcPr>
          <w:p>
            <w:pPr>
              <w:spacing w:after="0" w:line="209" w:lineRule="exact"/>
              <w:rPr>
                <w:sz w:val="20"/>
                <w:szCs w:val="20"/>
                <w:color w:val="auto"/>
              </w:rPr>
            </w:pPr>
            <w:r>
              <w:rPr>
                <w:rFonts w:ascii="Times New Roman" w:cs="Times New Roman" w:eastAsia="Times New Roman" w:hAnsi="Times New Roman"/>
                <w:sz w:val="20"/>
                <w:szCs w:val="20"/>
                <w:color w:val="0D248E"/>
              </w:rPr>
              <w:t>June 6, 2023 (incorporated by reference to Exhibit 4.2 to the Company’s Registration Statement on Form S-1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Borders>
              <w:top w:val="single" w:sz="8" w:color="0D248E"/>
              <w:bottom w:val="single" w:sz="8" w:color="0D248E"/>
            </w:tcBorders>
            <w:gridSpan w:val="2"/>
          </w:tcPr>
          <w:p>
            <w:pPr>
              <w:spacing w:after="0" w:line="210" w:lineRule="exact"/>
              <w:rPr>
                <w:sz w:val="20"/>
                <w:szCs w:val="20"/>
                <w:color w:val="auto"/>
              </w:rPr>
            </w:pPr>
            <w:r>
              <w:rPr>
                <w:rFonts w:ascii="Times New Roman" w:cs="Times New Roman" w:eastAsia="Times New Roman" w:hAnsi="Times New Roman"/>
                <w:sz w:val="20"/>
                <w:szCs w:val="20"/>
                <w:color w:val="0D248E"/>
                <w:w w:val="99"/>
              </w:rPr>
              <w:t>filed on September 18, 2024).</w:t>
            </w:r>
          </w:p>
        </w:tc>
        <w:tc>
          <w:tcPr>
            <w:tcW w:w="6340" w:type="dxa"/>
            <w:vAlign w:val="bottom"/>
            <w:tcBorders>
              <w:top w:val="single" w:sz="8" w:color="0D248E"/>
            </w:tcBorders>
            <w:gridSpan w:val="24"/>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4.3</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Description of Securities (incorporated by reference to Exhibit 4.3 to the Company’s Registration Statement on</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20" w:type="dxa"/>
            <w:vAlign w:val="bottom"/>
            <w:tcBorders>
              <w:top w:val="single" w:sz="8" w:color="0D248E"/>
            </w:tcBorders>
            <w:gridSpan w:val="33"/>
          </w:tcPr>
          <w:p>
            <w:pPr>
              <w:spacing w:after="0" w:line="210" w:lineRule="exact"/>
              <w:rPr>
                <w:sz w:val="20"/>
                <w:szCs w:val="20"/>
                <w:color w:val="auto"/>
              </w:rPr>
            </w:pPr>
            <w:r>
              <w:rPr>
                <w:rFonts w:ascii="Times New Roman" w:cs="Times New Roman" w:eastAsia="Times New Roman" w:hAnsi="Times New Roman"/>
                <w:sz w:val="20"/>
                <w:szCs w:val="20"/>
                <w:color w:val="0D248E"/>
              </w:rPr>
              <w:t>Form 10-K filed on March 12, 2025).</w:t>
            </w:r>
          </w:p>
        </w:tc>
        <w:tc>
          <w:tcPr>
            <w:tcW w:w="2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000" w:type="dxa"/>
            <w:vAlign w:val="bottom"/>
            <w:gridSpan w:val="2"/>
            <w:shd w:val="clear" w:color="auto" w:fill="0D248E"/>
          </w:tcPr>
          <w:p>
            <w:pPr>
              <w:spacing w:after="0" w:line="20" w:lineRule="exact"/>
              <w:rPr>
                <w:sz w:val="1"/>
                <w:szCs w:val="1"/>
                <w:color w:val="auto"/>
              </w:rPr>
            </w:pPr>
          </w:p>
        </w:tc>
        <w:tc>
          <w:tcPr>
            <w:tcW w:w="180" w:type="dxa"/>
            <w:vAlign w:val="bottom"/>
            <w:shd w:val="clear" w:color="auto" w:fill="0D248E"/>
          </w:tcPr>
          <w:p>
            <w:pPr>
              <w:spacing w:after="0" w:line="20" w:lineRule="exact"/>
              <w:rPr>
                <w:sz w:val="1"/>
                <w:szCs w:val="1"/>
                <w:color w:val="auto"/>
              </w:rPr>
            </w:pPr>
          </w:p>
        </w:tc>
        <w:tc>
          <w:tcPr>
            <w:tcW w:w="100" w:type="dxa"/>
            <w:vAlign w:val="bottom"/>
            <w:shd w:val="clear" w:color="auto" w:fill="0D248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10.1#</w:t>
            </w:r>
          </w:p>
        </w:tc>
        <w:tc>
          <w:tcPr>
            <w:tcW w:w="200" w:type="dxa"/>
            <w:vAlign w:val="bottom"/>
          </w:tcPr>
          <w:p>
            <w:pPr>
              <w:spacing w:after="0"/>
              <w:rPr>
                <w:sz w:val="19"/>
                <w:szCs w:val="19"/>
                <w:color w:val="auto"/>
              </w:rPr>
            </w:pPr>
          </w:p>
        </w:tc>
        <w:tc>
          <w:tcPr>
            <w:tcW w:w="8640" w:type="dxa"/>
            <w:vAlign w:val="bottom"/>
            <w:tcBorders>
              <w:bottom w:val="single" w:sz="8" w:color="0D248E"/>
            </w:tcBorders>
            <w:gridSpan w:val="21"/>
          </w:tcPr>
          <w:p>
            <w:pPr>
              <w:spacing w:after="0" w:line="225" w:lineRule="exact"/>
              <w:rPr>
                <w:sz w:val="20"/>
                <w:szCs w:val="20"/>
                <w:color w:val="auto"/>
              </w:rPr>
            </w:pPr>
            <w:r>
              <w:rPr>
                <w:rFonts w:ascii="Times New Roman" w:cs="Times New Roman" w:eastAsia="Times New Roman" w:hAnsi="Times New Roman"/>
                <w:sz w:val="20"/>
                <w:szCs w:val="20"/>
                <w:color w:val="0D248E"/>
                <w:w w:val="99"/>
              </w:rPr>
              <w:t>2021 Stock Option and Grant Plan, as amended, and form of award agreements thereunder (incorporated by</w:t>
            </w:r>
          </w:p>
        </w:tc>
        <w:tc>
          <w:tcPr>
            <w:tcW w:w="440" w:type="dxa"/>
            <w:vAlign w:val="bottom"/>
            <w:gridSpan w:val="17"/>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40" w:type="dxa"/>
            <w:vAlign w:val="bottom"/>
            <w:tcBorders>
              <w:bottom w:val="single" w:sz="8" w:color="0D248E"/>
            </w:tcBorders>
            <w:gridSpan w:val="31"/>
          </w:tcPr>
          <w:p>
            <w:pPr>
              <w:spacing w:after="0" w:line="209" w:lineRule="exact"/>
              <w:rPr>
                <w:sz w:val="20"/>
                <w:szCs w:val="20"/>
                <w:color w:val="auto"/>
              </w:rPr>
            </w:pPr>
            <w:r>
              <w:rPr>
                <w:rFonts w:ascii="Times New Roman" w:cs="Times New Roman" w:eastAsia="Times New Roman" w:hAnsi="Times New Roman"/>
                <w:sz w:val="20"/>
                <w:szCs w:val="20"/>
                <w:color w:val="0D248E"/>
                <w:w w:val="99"/>
              </w:rPr>
              <w:t>reference to Exhibit 10.1 to the Company’s Registration Statement on Form S-1 filed on September 18, 2024).</w:t>
            </w:r>
          </w:p>
        </w:tc>
        <w:tc>
          <w:tcPr>
            <w:tcW w:w="240" w:type="dxa"/>
            <w:vAlign w:val="bottom"/>
            <w:gridSpan w:val="7"/>
          </w:tcPr>
          <w:p>
            <w:pPr>
              <w:spacing w:after="0"/>
              <w:rPr>
                <w:sz w:val="18"/>
                <w:szCs w:val="18"/>
                <w:color w:val="auto"/>
              </w:rPr>
            </w:pPr>
          </w:p>
        </w:tc>
      </w:tr>
      <w:tr>
        <w:trPr>
          <w:trHeight w:val="226"/>
        </w:trPr>
        <w:tc>
          <w:tcPr>
            <w:tcW w:w="11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10.2#</w:t>
            </w:r>
          </w:p>
        </w:tc>
        <w:tc>
          <w:tcPr>
            <w:tcW w:w="200" w:type="dxa"/>
            <w:vAlign w:val="bottom"/>
          </w:tcPr>
          <w:p>
            <w:pPr>
              <w:spacing w:after="0"/>
              <w:rPr>
                <w:sz w:val="19"/>
                <w:szCs w:val="19"/>
                <w:color w:val="auto"/>
              </w:rPr>
            </w:pPr>
          </w:p>
        </w:tc>
        <w:tc>
          <w:tcPr>
            <w:tcW w:w="8040" w:type="dxa"/>
            <w:vAlign w:val="bottom"/>
            <w:tcBorders>
              <w:bottom w:val="single" w:sz="8" w:color="0D248E"/>
            </w:tcBorders>
            <w:gridSpan w:val="15"/>
          </w:tcPr>
          <w:p>
            <w:pPr>
              <w:spacing w:after="0" w:line="226" w:lineRule="exact"/>
              <w:rPr>
                <w:sz w:val="20"/>
                <w:szCs w:val="20"/>
                <w:color w:val="auto"/>
              </w:rPr>
            </w:pPr>
            <w:r>
              <w:rPr>
                <w:rFonts w:ascii="Times New Roman" w:cs="Times New Roman" w:eastAsia="Times New Roman" w:hAnsi="Times New Roman"/>
                <w:sz w:val="20"/>
                <w:szCs w:val="20"/>
                <w:color w:val="0D248E"/>
                <w:w w:val="99"/>
              </w:rPr>
              <w:t>Upstream Bio, Inc. 2024 Stock Option and Incentive Plan and form of award agreements thereunder</w:t>
            </w:r>
          </w:p>
        </w:tc>
        <w:tc>
          <w:tcPr>
            <w:tcW w:w="1040" w:type="dxa"/>
            <w:vAlign w:val="bottom"/>
            <w:gridSpan w:val="23"/>
          </w:tcPr>
          <w:p>
            <w:pPr>
              <w:spacing w:after="0"/>
              <w:rPr>
                <w:sz w:val="19"/>
                <w:szCs w:val="19"/>
                <w:color w:val="auto"/>
              </w:rPr>
            </w:pP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80" w:type="dxa"/>
            <w:vAlign w:val="bottom"/>
            <w:gridSpan w:val="38"/>
          </w:tcPr>
          <w:p>
            <w:pPr>
              <w:spacing w:after="0" w:line="209" w:lineRule="exact"/>
              <w:rPr>
                <w:sz w:val="20"/>
                <w:szCs w:val="20"/>
                <w:color w:val="auto"/>
              </w:rPr>
            </w:pPr>
            <w:r>
              <w:rPr>
                <w:rFonts w:ascii="Times New Roman" w:cs="Times New Roman" w:eastAsia="Times New Roman" w:hAnsi="Times New Roman"/>
                <w:sz w:val="20"/>
                <w:szCs w:val="20"/>
                <w:color w:val="0D248E"/>
              </w:rPr>
              <w:t>(incorporated by reference to Exhibit 10.2 to Amendment No. 1 to the Company’s Registration Statement on</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00" w:type="dxa"/>
            <w:vAlign w:val="bottom"/>
            <w:tcBorders>
              <w:top w:val="single" w:sz="8" w:color="0D248E"/>
              <w:bottom w:val="single" w:sz="8" w:color="0D248E"/>
            </w:tcBorders>
            <w:gridSpan w:val="4"/>
          </w:tcPr>
          <w:p>
            <w:pPr>
              <w:spacing w:after="0" w:line="210" w:lineRule="exact"/>
              <w:rPr>
                <w:sz w:val="20"/>
                <w:szCs w:val="20"/>
                <w:color w:val="auto"/>
              </w:rPr>
            </w:pPr>
            <w:r>
              <w:rPr>
                <w:rFonts w:ascii="Times New Roman" w:cs="Times New Roman" w:eastAsia="Times New Roman" w:hAnsi="Times New Roman"/>
                <w:sz w:val="20"/>
                <w:szCs w:val="20"/>
                <w:color w:val="0D248E"/>
                <w:w w:val="99"/>
              </w:rPr>
              <w:t>Form S-1 filed on October 7, 2024).</w:t>
            </w:r>
          </w:p>
        </w:tc>
        <w:tc>
          <w:tcPr>
            <w:tcW w:w="5820" w:type="dxa"/>
            <w:vAlign w:val="bottom"/>
            <w:tcBorders>
              <w:top w:val="single" w:sz="8" w:color="0D248E"/>
            </w:tcBorders>
            <w:gridSpan w:val="21"/>
          </w:tcPr>
          <w:p>
            <w:pPr>
              <w:spacing w:after="0"/>
              <w:rPr>
                <w:sz w:val="18"/>
                <w:szCs w:val="18"/>
                <w:color w:val="auto"/>
              </w:rPr>
            </w:pPr>
          </w:p>
        </w:tc>
        <w:tc>
          <w:tcPr>
            <w:tcW w:w="60" w:type="dxa"/>
            <w:vAlign w:val="bottom"/>
            <w:gridSpan w:val="3"/>
          </w:tcPr>
          <w:p>
            <w:pPr>
              <w:spacing w:after="0"/>
              <w:rPr>
                <w:sz w:val="18"/>
                <w:szCs w:val="18"/>
                <w:color w:val="auto"/>
              </w:rPr>
            </w:pPr>
          </w:p>
        </w:tc>
        <w:tc>
          <w:tcPr>
            <w:tcW w:w="12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10.3#</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Upstream Bio, Inc. 2024 Employee Stock Purchase Plan (incorporated by reference to Exhibit 10.3 to</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40" w:type="dxa"/>
            <w:vAlign w:val="bottom"/>
            <w:tcBorders>
              <w:top w:val="single" w:sz="8" w:color="0D248E"/>
            </w:tcBorders>
            <w:gridSpan w:val="16"/>
          </w:tcPr>
          <w:p>
            <w:pPr>
              <w:spacing w:after="0" w:line="210" w:lineRule="exact"/>
              <w:rPr>
                <w:sz w:val="20"/>
                <w:szCs w:val="20"/>
                <w:color w:val="auto"/>
              </w:rPr>
            </w:pPr>
            <w:r>
              <w:rPr>
                <w:rFonts w:ascii="Times New Roman" w:cs="Times New Roman" w:eastAsia="Times New Roman" w:hAnsi="Times New Roman"/>
                <w:sz w:val="20"/>
                <w:szCs w:val="20"/>
                <w:color w:val="0D248E"/>
              </w:rPr>
              <w:t>Amendment No. 1 to the Company’s Registration Statement on Form S-1 filed on October 7, 2024).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12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000" w:type="dxa"/>
            <w:vAlign w:val="bottom"/>
            <w:gridSpan w:val="2"/>
            <w:shd w:val="clear" w:color="auto" w:fill="0D248E"/>
          </w:tcPr>
          <w:p>
            <w:pPr>
              <w:spacing w:after="0" w:line="20" w:lineRule="exact"/>
              <w:rPr>
                <w:sz w:val="1"/>
                <w:szCs w:val="1"/>
                <w:color w:val="auto"/>
              </w:rPr>
            </w:pPr>
          </w:p>
        </w:tc>
        <w:tc>
          <w:tcPr>
            <w:tcW w:w="1280" w:type="dxa"/>
            <w:vAlign w:val="bottom"/>
            <w:gridSpan w:val="3"/>
            <w:shd w:val="clear" w:color="auto" w:fill="0D248E"/>
          </w:tcPr>
          <w:p>
            <w:pPr>
              <w:spacing w:after="0" w:line="20" w:lineRule="exact"/>
              <w:rPr>
                <w:sz w:val="1"/>
                <w:szCs w:val="1"/>
                <w:color w:val="auto"/>
              </w:rPr>
            </w:pPr>
          </w:p>
        </w:tc>
        <w:tc>
          <w:tcPr>
            <w:tcW w:w="1020" w:type="dxa"/>
            <w:vAlign w:val="bottom"/>
            <w:gridSpan w:val="2"/>
            <w:shd w:val="clear" w:color="auto" w:fill="0D248E"/>
          </w:tcPr>
          <w:p>
            <w:pPr>
              <w:spacing w:after="0" w:line="20" w:lineRule="exact"/>
              <w:rPr>
                <w:sz w:val="1"/>
                <w:szCs w:val="1"/>
                <w:color w:val="auto"/>
              </w:rPr>
            </w:pPr>
          </w:p>
        </w:tc>
        <w:tc>
          <w:tcPr>
            <w:tcW w:w="640" w:type="dxa"/>
            <w:vAlign w:val="bottom"/>
            <w:gridSpan w:val="2"/>
            <w:shd w:val="clear" w:color="auto" w:fill="0D248E"/>
          </w:tcPr>
          <w:p>
            <w:pPr>
              <w:spacing w:after="0" w:line="20" w:lineRule="exact"/>
              <w:rPr>
                <w:sz w:val="1"/>
                <w:szCs w:val="1"/>
                <w:color w:val="auto"/>
              </w:rPr>
            </w:pPr>
          </w:p>
        </w:tc>
        <w:tc>
          <w:tcPr>
            <w:tcW w:w="620" w:type="dxa"/>
            <w:vAlign w:val="bottom"/>
            <w:shd w:val="clear" w:color="auto" w:fill="0D248E"/>
          </w:tcPr>
          <w:p>
            <w:pPr>
              <w:spacing w:after="0" w:line="20" w:lineRule="exact"/>
              <w:rPr>
                <w:sz w:val="1"/>
                <w:szCs w:val="1"/>
                <w:color w:val="auto"/>
              </w:rPr>
            </w:pPr>
          </w:p>
        </w:tc>
        <w:tc>
          <w:tcPr>
            <w:tcW w:w="20" w:type="dxa"/>
            <w:vAlign w:val="bottom"/>
            <w:shd w:val="clear" w:color="auto" w:fill="0D248E"/>
          </w:tcPr>
          <w:p>
            <w:pPr>
              <w:spacing w:after="0" w:line="20" w:lineRule="exact"/>
              <w:rPr>
                <w:sz w:val="1"/>
                <w:szCs w:val="1"/>
                <w:color w:val="auto"/>
              </w:rPr>
            </w:pPr>
          </w:p>
        </w:tc>
        <w:tc>
          <w:tcPr>
            <w:tcW w:w="1720" w:type="dxa"/>
            <w:vAlign w:val="bottom"/>
            <w:gridSpan w:val="2"/>
            <w:shd w:val="clear" w:color="auto" w:fill="0D248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10.4#</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Form of Indemnification Agreement, by and between the Company and each of its directors and executive</w:t>
            </w: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20" w:type="dxa"/>
            <w:vAlign w:val="bottom"/>
            <w:tcBorders>
              <w:top w:val="single" w:sz="8" w:color="0D248E"/>
            </w:tcBorders>
            <w:gridSpan w:val="18"/>
          </w:tcPr>
          <w:p>
            <w:pPr>
              <w:spacing w:after="0" w:line="209" w:lineRule="exact"/>
              <w:rPr>
                <w:sz w:val="20"/>
                <w:szCs w:val="20"/>
                <w:color w:val="auto"/>
              </w:rPr>
            </w:pPr>
            <w:r>
              <w:rPr>
                <w:rFonts w:ascii="Times New Roman" w:cs="Times New Roman" w:eastAsia="Times New Roman" w:hAnsi="Times New Roman"/>
                <w:sz w:val="20"/>
                <w:szCs w:val="20"/>
                <w:color w:val="0D248E"/>
              </w:rPr>
              <w:t>officers (incorporated by reference to Exhibit 10.4 to Amendment No. 1 to the Company’s Registration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12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0" w:type="dxa"/>
            <w:vAlign w:val="bottom"/>
            <w:tcBorders>
              <w:top w:val="single" w:sz="8" w:color="0D248E"/>
              <w:bottom w:val="single" w:sz="8" w:color="0D248E"/>
            </w:tcBorders>
            <w:gridSpan w:val="6"/>
          </w:tcPr>
          <w:p>
            <w:pPr>
              <w:spacing w:after="0" w:line="210" w:lineRule="exact"/>
              <w:rPr>
                <w:sz w:val="20"/>
                <w:szCs w:val="20"/>
                <w:color w:val="auto"/>
              </w:rPr>
            </w:pPr>
            <w:r>
              <w:rPr>
                <w:rFonts w:ascii="Times New Roman" w:cs="Times New Roman" w:eastAsia="Times New Roman" w:hAnsi="Times New Roman"/>
                <w:sz w:val="20"/>
                <w:szCs w:val="20"/>
                <w:color w:val="0D248E"/>
                <w:w w:val="99"/>
              </w:rPr>
              <w:t>Statement on Form S-1 filed on October 7, 2024).</w:t>
            </w:r>
          </w:p>
        </w:tc>
        <w:tc>
          <w:tcPr>
            <w:tcW w:w="4280" w:type="dxa"/>
            <w:vAlign w:val="bottom"/>
            <w:tcBorders>
              <w:top w:val="single" w:sz="8" w:color="0D248E"/>
            </w:tcBorders>
            <w:gridSpan w:val="11"/>
          </w:tcPr>
          <w:p>
            <w:pPr>
              <w:spacing w:after="0"/>
              <w:rPr>
                <w:sz w:val="18"/>
                <w:szCs w:val="18"/>
                <w:color w:val="auto"/>
              </w:rPr>
            </w:pPr>
          </w:p>
        </w:tc>
        <w:tc>
          <w:tcPr>
            <w:tcW w:w="2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12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10.5#</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Senior Executive Cash Incentive Bonus Plan (incorporated by reference to Exhibit 10.5 to Amendment No. 1 to</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40" w:type="dxa"/>
            <w:vAlign w:val="bottom"/>
            <w:tcBorders>
              <w:top w:val="single" w:sz="8" w:color="0D248E"/>
            </w:tcBorders>
            <w:gridSpan w:val="34"/>
          </w:tcPr>
          <w:p>
            <w:pPr>
              <w:spacing w:after="0" w:line="210" w:lineRule="exact"/>
              <w:rPr>
                <w:sz w:val="20"/>
                <w:szCs w:val="20"/>
                <w:color w:val="auto"/>
              </w:rPr>
            </w:pPr>
            <w:r>
              <w:rPr>
                <w:rFonts w:ascii="Times New Roman" w:cs="Times New Roman" w:eastAsia="Times New Roman" w:hAnsi="Times New Roman"/>
                <w:sz w:val="20"/>
                <w:szCs w:val="20"/>
                <w:color w:val="0D248E"/>
              </w:rPr>
              <w:t>the Company’s Registration Statement on Form S-1 filed on October 7, 2024).</w:t>
            </w:r>
          </w:p>
        </w:tc>
        <w:tc>
          <w:tcPr>
            <w:tcW w:w="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000" w:type="dxa"/>
            <w:vAlign w:val="bottom"/>
            <w:gridSpan w:val="2"/>
            <w:shd w:val="clear" w:color="auto" w:fill="0D248E"/>
          </w:tcPr>
          <w:p>
            <w:pPr>
              <w:spacing w:after="0" w:line="20" w:lineRule="exact"/>
              <w:rPr>
                <w:sz w:val="1"/>
                <w:szCs w:val="1"/>
                <w:color w:val="auto"/>
              </w:rPr>
            </w:pPr>
          </w:p>
        </w:tc>
        <w:tc>
          <w:tcPr>
            <w:tcW w:w="2300" w:type="dxa"/>
            <w:vAlign w:val="bottom"/>
            <w:gridSpan w:val="5"/>
            <w:shd w:val="clear" w:color="auto" w:fill="0D248E"/>
          </w:tcPr>
          <w:p>
            <w:pPr>
              <w:spacing w:after="0" w:line="20" w:lineRule="exact"/>
              <w:rPr>
                <w:sz w:val="1"/>
                <w:szCs w:val="1"/>
                <w:color w:val="auto"/>
              </w:rPr>
            </w:pPr>
          </w:p>
        </w:tc>
        <w:tc>
          <w:tcPr>
            <w:tcW w:w="640" w:type="dxa"/>
            <w:vAlign w:val="bottom"/>
            <w:gridSpan w:val="2"/>
            <w:shd w:val="clear" w:color="auto" w:fill="0D248E"/>
          </w:tcPr>
          <w:p>
            <w:pPr>
              <w:spacing w:after="0" w:line="20" w:lineRule="exact"/>
              <w:rPr>
                <w:sz w:val="1"/>
                <w:szCs w:val="1"/>
                <w:color w:val="auto"/>
              </w:rPr>
            </w:pPr>
          </w:p>
        </w:tc>
        <w:tc>
          <w:tcPr>
            <w:tcW w:w="620" w:type="dxa"/>
            <w:vAlign w:val="bottom"/>
            <w:shd w:val="clear" w:color="auto" w:fill="0D248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10.6#</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Executive Severance Plan (incorporated by reference to Exhibit 10.6 to Amendment No. 1 to the Company’s</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20" w:type="dxa"/>
            <w:vAlign w:val="bottom"/>
            <w:tcBorders>
              <w:top w:val="single" w:sz="8" w:color="0D248E"/>
              <w:bottom w:val="single" w:sz="8" w:color="0D248E"/>
            </w:tcBorders>
            <w:gridSpan w:val="8"/>
          </w:tcPr>
          <w:p>
            <w:pPr>
              <w:spacing w:after="0" w:line="210" w:lineRule="exact"/>
              <w:rPr>
                <w:sz w:val="20"/>
                <w:szCs w:val="20"/>
                <w:color w:val="auto"/>
              </w:rPr>
            </w:pPr>
            <w:r>
              <w:rPr>
                <w:rFonts w:ascii="Times New Roman" w:cs="Times New Roman" w:eastAsia="Times New Roman" w:hAnsi="Times New Roman"/>
                <w:sz w:val="20"/>
                <w:szCs w:val="20"/>
                <w:color w:val="0D248E"/>
                <w:w w:val="99"/>
              </w:rPr>
              <w:t>Registration Statement on Form S-1 filed on October 7, 2024).</w:t>
            </w:r>
          </w:p>
        </w:tc>
        <w:tc>
          <w:tcPr>
            <w:tcW w:w="3680" w:type="dxa"/>
            <w:vAlign w:val="bottom"/>
            <w:tcBorders>
              <w:top w:val="single" w:sz="8" w:color="0D248E"/>
            </w:tcBorders>
            <w:gridSpan w:val="16"/>
          </w:tcPr>
          <w:p>
            <w:pPr>
              <w:spacing w:after="0"/>
              <w:rPr>
                <w:sz w:val="18"/>
                <w:szCs w:val="18"/>
                <w:color w:val="auto"/>
              </w:rPr>
            </w:pPr>
          </w:p>
        </w:tc>
        <w:tc>
          <w:tcPr>
            <w:tcW w:w="80" w:type="dxa"/>
            <w:vAlign w:val="bottom"/>
            <w:gridSpan w:val="4"/>
          </w:tcPr>
          <w:p>
            <w:pPr>
              <w:spacing w:after="0"/>
              <w:rPr>
                <w:sz w:val="18"/>
                <w:szCs w:val="18"/>
                <w:color w:val="auto"/>
              </w:rPr>
            </w:pPr>
          </w:p>
        </w:tc>
        <w:tc>
          <w:tcPr>
            <w:tcW w:w="120" w:type="dxa"/>
            <w:vAlign w:val="bottom"/>
            <w:gridSpan w:val="4"/>
          </w:tcPr>
          <w:p>
            <w:pPr>
              <w:spacing w:after="0"/>
              <w:rPr>
                <w:sz w:val="18"/>
                <w:szCs w:val="18"/>
                <w:color w:val="auto"/>
              </w:rPr>
            </w:pPr>
          </w:p>
        </w:tc>
        <w:tc>
          <w:tcPr>
            <w:tcW w:w="10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10.7#*</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Amended and Restated Non-Employee Director Compensation Policy.</w:t>
            </w: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000" w:type="dxa"/>
            <w:vAlign w:val="bottom"/>
            <w:gridSpan w:val="2"/>
            <w:shd w:val="clear" w:color="auto" w:fill="0D248E"/>
          </w:tcPr>
          <w:p>
            <w:pPr>
              <w:spacing w:after="0" w:line="20" w:lineRule="exact"/>
              <w:rPr>
                <w:sz w:val="1"/>
                <w:szCs w:val="1"/>
                <w:color w:val="auto"/>
              </w:rPr>
            </w:pPr>
          </w:p>
        </w:tc>
        <w:tc>
          <w:tcPr>
            <w:tcW w:w="2940" w:type="dxa"/>
            <w:vAlign w:val="bottom"/>
            <w:gridSpan w:val="7"/>
            <w:shd w:val="clear" w:color="auto" w:fill="0D248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1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10.8#</w:t>
            </w:r>
          </w:p>
        </w:tc>
        <w:tc>
          <w:tcPr>
            <w:tcW w:w="200" w:type="dxa"/>
            <w:vAlign w:val="bottom"/>
          </w:tcPr>
          <w:p>
            <w:pPr>
              <w:spacing w:after="0"/>
              <w:rPr>
                <w:sz w:val="19"/>
                <w:szCs w:val="19"/>
                <w:color w:val="auto"/>
              </w:rPr>
            </w:pP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Form of Employment Agreement for Executive Officers (incorporated by reference to Exhibit 10.11 to the</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40" w:type="dxa"/>
            <w:vAlign w:val="bottom"/>
            <w:tcBorders>
              <w:top w:val="single" w:sz="8" w:color="0D248E"/>
            </w:tcBorders>
            <w:gridSpan w:val="19"/>
          </w:tcPr>
          <w:p>
            <w:pPr>
              <w:spacing w:after="0" w:line="210" w:lineRule="exact"/>
              <w:rPr>
                <w:sz w:val="20"/>
                <w:szCs w:val="20"/>
                <w:color w:val="auto"/>
              </w:rPr>
            </w:pPr>
            <w:r>
              <w:rPr>
                <w:rFonts w:ascii="Times New Roman" w:cs="Times New Roman" w:eastAsia="Times New Roman" w:hAnsi="Times New Roman"/>
                <w:sz w:val="20"/>
                <w:szCs w:val="20"/>
                <w:color w:val="0D248E"/>
              </w:rPr>
              <w:t>Company’s Registration Statement on Form S-1 filed on September 18, 2024).</w:t>
            </w:r>
          </w:p>
        </w:tc>
        <w:tc>
          <w:tcPr>
            <w:tcW w:w="2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gridSpan w:val="5"/>
          </w:tcPr>
          <w:p>
            <w:pPr>
              <w:spacing w:after="0"/>
              <w:rPr>
                <w:sz w:val="18"/>
                <w:szCs w:val="18"/>
                <w:color w:val="auto"/>
              </w:rPr>
            </w:pPr>
          </w:p>
        </w:tc>
        <w:tc>
          <w:tcPr>
            <w:tcW w:w="120" w:type="dxa"/>
            <w:vAlign w:val="bottom"/>
            <w:gridSpan w:val="4"/>
          </w:tcPr>
          <w:p>
            <w:pPr>
              <w:spacing w:after="0"/>
              <w:rPr>
                <w:sz w:val="18"/>
                <w:szCs w:val="18"/>
                <w:color w:val="auto"/>
              </w:rPr>
            </w:pPr>
          </w:p>
        </w:tc>
        <w:tc>
          <w:tcPr>
            <w:tcW w:w="10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360" w:type="dxa"/>
            <w:vAlign w:val="bottom"/>
            <w:gridSpan w:val="2"/>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000" w:type="dxa"/>
            <w:vAlign w:val="bottom"/>
            <w:gridSpan w:val="2"/>
            <w:shd w:val="clear" w:color="auto" w:fill="0D248E"/>
          </w:tcPr>
          <w:p>
            <w:pPr>
              <w:spacing w:after="0" w:line="20" w:lineRule="exact"/>
              <w:rPr>
                <w:sz w:val="1"/>
                <w:szCs w:val="1"/>
                <w:color w:val="auto"/>
              </w:rPr>
            </w:pPr>
          </w:p>
        </w:tc>
        <w:tc>
          <w:tcPr>
            <w:tcW w:w="3580" w:type="dxa"/>
            <w:vAlign w:val="bottom"/>
            <w:gridSpan w:val="9"/>
            <w:shd w:val="clear" w:color="auto" w:fill="0D248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36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10.9</w:t>
            </w:r>
            <w:r>
              <w:rPr>
                <w:rFonts w:ascii="Arial" w:cs="Arial" w:eastAsia="Arial" w:hAnsi="Arial"/>
                <w:sz w:val="15"/>
                <w:szCs w:val="15"/>
                <w:color w:val="auto"/>
              </w:rPr>
              <w:t>†</w:t>
            </w:r>
            <w:r>
              <w:rPr>
                <w:rFonts w:ascii="Times New Roman" w:cs="Times New Roman" w:eastAsia="Times New Roman" w:hAnsi="Times New Roman"/>
                <w:sz w:val="20"/>
                <w:szCs w:val="20"/>
                <w:color w:val="auto"/>
              </w:rPr>
              <w:t>+</w:t>
            </w: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Asset Purchase Agreement, by and between the Company and Astellas Pharma Inc., dated October 14, 2021</w:t>
            </w: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80" w:type="dxa"/>
            <w:vAlign w:val="bottom"/>
            <w:tcBorders>
              <w:top w:val="single" w:sz="8" w:color="0D248E"/>
            </w:tcBorders>
            <w:gridSpan w:val="23"/>
          </w:tcPr>
          <w:p>
            <w:pPr>
              <w:spacing w:after="0" w:line="209" w:lineRule="exact"/>
              <w:rPr>
                <w:sz w:val="20"/>
                <w:szCs w:val="20"/>
                <w:color w:val="auto"/>
              </w:rPr>
            </w:pPr>
            <w:r>
              <w:rPr>
                <w:rFonts w:ascii="Times New Roman" w:cs="Times New Roman" w:eastAsia="Times New Roman" w:hAnsi="Times New Roman"/>
                <w:sz w:val="20"/>
                <w:szCs w:val="20"/>
                <w:color w:val="0D248E"/>
              </w:rPr>
              <w:t>(incorporated by reference to Exhibit 10.12 to the Company’s Registration Statement on Form S-1 filed on</w:t>
            </w:r>
          </w:p>
        </w:tc>
        <w:tc>
          <w:tcPr>
            <w:tcW w:w="100" w:type="dxa"/>
            <w:vAlign w:val="bottom"/>
            <w:gridSpan w:val="5"/>
          </w:tcPr>
          <w:p>
            <w:pPr>
              <w:spacing w:after="0"/>
              <w:rPr>
                <w:sz w:val="18"/>
                <w:szCs w:val="18"/>
                <w:color w:val="auto"/>
              </w:rPr>
            </w:pPr>
          </w:p>
        </w:tc>
        <w:tc>
          <w:tcPr>
            <w:tcW w:w="120" w:type="dxa"/>
            <w:vAlign w:val="bottom"/>
            <w:gridSpan w:val="4"/>
          </w:tcPr>
          <w:p>
            <w:pPr>
              <w:spacing w:after="0"/>
              <w:rPr>
                <w:sz w:val="18"/>
                <w:szCs w:val="18"/>
                <w:color w:val="auto"/>
              </w:rPr>
            </w:pPr>
          </w:p>
        </w:tc>
        <w:tc>
          <w:tcPr>
            <w:tcW w:w="10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Borders>
              <w:top w:val="single" w:sz="8" w:color="0D248E"/>
            </w:tcBorders>
            <w:gridSpan w:val="20"/>
          </w:tcPr>
          <w:p>
            <w:pPr>
              <w:spacing w:after="0" w:line="210" w:lineRule="exact"/>
              <w:rPr>
                <w:sz w:val="20"/>
                <w:szCs w:val="20"/>
                <w:color w:val="auto"/>
              </w:rPr>
            </w:pPr>
            <w:r>
              <w:rPr>
                <w:rFonts w:ascii="Times New Roman" w:cs="Times New Roman" w:eastAsia="Times New Roman" w:hAnsi="Times New Roman"/>
                <w:sz w:val="20"/>
                <w:szCs w:val="20"/>
                <w:color w:val="0D248E"/>
              </w:rPr>
              <w:t>September 18, 2024).</w:t>
            </w:r>
          </w:p>
        </w:tc>
        <w:tc>
          <w:tcPr>
            <w:tcW w:w="100" w:type="dxa"/>
            <w:vAlign w:val="bottom"/>
            <w:gridSpan w:val="2"/>
          </w:tcPr>
          <w:p>
            <w:pPr>
              <w:spacing w:after="0"/>
              <w:rPr>
                <w:sz w:val="18"/>
                <w:szCs w:val="18"/>
                <w:color w:val="auto"/>
              </w:rPr>
            </w:pPr>
          </w:p>
        </w:tc>
        <w:tc>
          <w:tcPr>
            <w:tcW w:w="120" w:type="dxa"/>
            <w:vAlign w:val="bottom"/>
            <w:gridSpan w:val="6"/>
          </w:tcPr>
          <w:p>
            <w:pPr>
              <w:spacing w:after="0"/>
              <w:rPr>
                <w:sz w:val="18"/>
                <w:szCs w:val="18"/>
                <w:color w:val="auto"/>
              </w:rPr>
            </w:pPr>
          </w:p>
        </w:tc>
        <w:tc>
          <w:tcPr>
            <w:tcW w:w="120" w:type="dxa"/>
            <w:vAlign w:val="bottom"/>
            <w:gridSpan w:val="4"/>
          </w:tcPr>
          <w:p>
            <w:pPr>
              <w:spacing w:after="0"/>
              <w:rPr>
                <w:sz w:val="18"/>
                <w:szCs w:val="18"/>
                <w:color w:val="auto"/>
              </w:rPr>
            </w:pPr>
          </w:p>
        </w:tc>
        <w:tc>
          <w:tcPr>
            <w:tcW w:w="100" w:type="dxa"/>
            <w:vAlign w:val="bottom"/>
            <w:gridSpan w:val="4"/>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1360" w:type="dxa"/>
            <w:vAlign w:val="bottom"/>
            <w:gridSpan w:val="2"/>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94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36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10.10</w:t>
            </w:r>
            <w:r>
              <w:rPr>
                <w:rFonts w:ascii="Arial" w:cs="Arial" w:eastAsia="Arial" w:hAnsi="Arial"/>
                <w:sz w:val="15"/>
                <w:szCs w:val="15"/>
                <w:color w:val="auto"/>
              </w:rPr>
              <w:t>†</w:t>
            </w: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Letter Agreement, by and among the Company, Astellas Pharma Inc. and Regeneron Pharmaceuticals Inc., dated</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40" w:type="dxa"/>
            <w:vAlign w:val="bottom"/>
            <w:tcBorders>
              <w:top w:val="single" w:sz="8" w:color="0D248E"/>
            </w:tcBorders>
            <w:gridSpan w:val="37"/>
          </w:tcPr>
          <w:p>
            <w:pPr>
              <w:spacing w:after="0" w:line="210" w:lineRule="exact"/>
              <w:rPr>
                <w:sz w:val="20"/>
                <w:szCs w:val="20"/>
                <w:color w:val="auto"/>
              </w:rPr>
            </w:pPr>
            <w:r>
              <w:rPr>
                <w:rFonts w:ascii="Times New Roman" w:cs="Times New Roman" w:eastAsia="Times New Roman" w:hAnsi="Times New Roman"/>
                <w:sz w:val="20"/>
                <w:szCs w:val="20"/>
                <w:color w:val="0D248E"/>
              </w:rPr>
              <w:t>October 19, 2021 (incorporated by reference to Exhibit 10.13 to the Company’s Registration Statement on Form</w:t>
            </w:r>
          </w:p>
        </w:tc>
        <w:tc>
          <w:tcPr>
            <w:tcW w:w="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0" w:type="dxa"/>
            <w:vAlign w:val="bottom"/>
            <w:tcBorders>
              <w:top w:val="single" w:sz="8" w:color="0D248E"/>
            </w:tcBorders>
            <w:gridSpan w:val="36"/>
          </w:tcPr>
          <w:p>
            <w:pPr>
              <w:spacing w:after="0" w:line="210" w:lineRule="exact"/>
              <w:rPr>
                <w:sz w:val="20"/>
                <w:szCs w:val="20"/>
                <w:color w:val="auto"/>
              </w:rPr>
            </w:pPr>
            <w:r>
              <w:rPr>
                <w:rFonts w:ascii="Times New Roman" w:cs="Times New Roman" w:eastAsia="Times New Roman" w:hAnsi="Times New Roman"/>
                <w:sz w:val="20"/>
                <w:szCs w:val="20"/>
                <w:color w:val="0D248E"/>
              </w:rPr>
              <w:t>S-1 filed on September 18, 2024).</w:t>
            </w:r>
          </w:p>
        </w:tc>
        <w:tc>
          <w:tcPr>
            <w:tcW w:w="80" w:type="dxa"/>
            <w:vAlign w:val="bottom"/>
            <w:gridSpan w:val="2"/>
          </w:tcPr>
          <w:p>
            <w:pPr>
              <w:spacing w:after="0"/>
              <w:rPr>
                <w:sz w:val="18"/>
                <w:szCs w:val="18"/>
                <w:color w:val="auto"/>
              </w:rPr>
            </w:pPr>
          </w:p>
        </w:tc>
      </w:tr>
      <w:tr>
        <w:trPr>
          <w:trHeight w:val="20"/>
        </w:trPr>
        <w:tc>
          <w:tcPr>
            <w:tcW w:w="1360" w:type="dxa"/>
            <w:vAlign w:val="bottom"/>
            <w:gridSpan w:val="2"/>
          </w:tcPr>
          <w:p>
            <w:pPr>
              <w:spacing w:after="0" w:line="20" w:lineRule="exact"/>
              <w:rPr>
                <w:sz w:val="1"/>
                <w:szCs w:val="1"/>
                <w:color w:val="auto"/>
              </w:rPr>
            </w:pPr>
          </w:p>
        </w:tc>
        <w:tc>
          <w:tcPr>
            <w:tcW w:w="2720" w:type="dxa"/>
            <w:vAlign w:val="bottom"/>
            <w:gridSpan w:val="3"/>
            <w:shd w:val="clear" w:color="auto" w:fill="0D248E"/>
          </w:tcPr>
          <w:p>
            <w:pPr>
              <w:spacing w:after="0" w:line="20" w:lineRule="exact"/>
              <w:rPr>
                <w:sz w:val="1"/>
                <w:szCs w:val="1"/>
                <w:color w:val="auto"/>
              </w:rPr>
            </w:pPr>
          </w:p>
        </w:tc>
        <w:tc>
          <w:tcPr>
            <w:tcW w:w="5940" w:type="dxa"/>
            <w:vAlign w:val="bottom"/>
            <w:gridSpan w:val="19"/>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25"/>
        </w:trPr>
        <w:tc>
          <w:tcPr>
            <w:tcW w:w="136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10.11</w:t>
            </w:r>
            <w:r>
              <w:rPr>
                <w:rFonts w:ascii="Arial" w:cs="Arial" w:eastAsia="Arial" w:hAnsi="Arial"/>
                <w:sz w:val="15"/>
                <w:szCs w:val="15"/>
                <w:color w:val="auto"/>
              </w:rPr>
              <w:t>†</w:t>
            </w:r>
            <w:r>
              <w:rPr>
                <w:rFonts w:ascii="Times New Roman" w:cs="Times New Roman" w:eastAsia="Times New Roman" w:hAnsi="Times New Roman"/>
                <w:sz w:val="20"/>
                <w:szCs w:val="20"/>
                <w:color w:val="auto"/>
              </w:rPr>
              <w:t>+</w:t>
            </w: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Exclusive License Agreement, by and between the Company and Maruho Co., Ltd., dated October 14, 2021, as</w:t>
            </w: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900" w:type="dxa"/>
            <w:vAlign w:val="bottom"/>
            <w:tcBorders>
              <w:top w:val="single" w:sz="8" w:color="0D248E"/>
            </w:tcBorders>
            <w:gridSpan w:val="32"/>
          </w:tcPr>
          <w:p>
            <w:pPr>
              <w:spacing w:after="0" w:line="209" w:lineRule="exact"/>
              <w:rPr>
                <w:sz w:val="20"/>
                <w:szCs w:val="20"/>
                <w:color w:val="auto"/>
              </w:rPr>
            </w:pPr>
            <w:r>
              <w:rPr>
                <w:rFonts w:ascii="Times New Roman" w:cs="Times New Roman" w:eastAsia="Times New Roman" w:hAnsi="Times New Roman"/>
                <w:sz w:val="20"/>
                <w:szCs w:val="20"/>
                <w:color w:val="0D248E"/>
              </w:rPr>
              <w:t>amended (incorporated by reference to Exhibit 10.14 to the Company’s Registration Statement on Form S-1</w:t>
            </w:r>
          </w:p>
        </w:tc>
        <w:tc>
          <w:tcPr>
            <w:tcW w:w="180" w:type="dxa"/>
            <w:vAlign w:val="bottom"/>
            <w:gridSpan w:val="6"/>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Borders>
              <w:top w:val="single" w:sz="8" w:color="0D248E"/>
              <w:bottom w:val="single" w:sz="8" w:color="0D248E"/>
            </w:tcBorders>
            <w:gridSpan w:val="2"/>
          </w:tcPr>
          <w:p>
            <w:pPr>
              <w:spacing w:after="0" w:line="210" w:lineRule="exact"/>
              <w:rPr>
                <w:sz w:val="20"/>
                <w:szCs w:val="20"/>
                <w:color w:val="auto"/>
              </w:rPr>
            </w:pPr>
            <w:r>
              <w:rPr>
                <w:rFonts w:ascii="Times New Roman" w:cs="Times New Roman" w:eastAsia="Times New Roman" w:hAnsi="Times New Roman"/>
                <w:sz w:val="20"/>
                <w:szCs w:val="20"/>
                <w:color w:val="0D248E"/>
                <w:w w:val="99"/>
              </w:rPr>
              <w:t>filed on September 18, 2024).</w:t>
            </w:r>
          </w:p>
        </w:tc>
        <w:tc>
          <w:tcPr>
            <w:tcW w:w="6260" w:type="dxa"/>
            <w:vAlign w:val="bottom"/>
            <w:tcBorders>
              <w:top w:val="single" w:sz="8" w:color="0D248E"/>
            </w:tcBorders>
            <w:gridSpan w:val="20"/>
          </w:tcPr>
          <w:p>
            <w:pPr>
              <w:spacing w:after="0"/>
              <w:rPr>
                <w:sz w:val="18"/>
                <w:szCs w:val="18"/>
                <w:color w:val="auto"/>
              </w:rPr>
            </w:pPr>
          </w:p>
        </w:tc>
        <w:tc>
          <w:tcPr>
            <w:tcW w:w="120" w:type="dxa"/>
            <w:vAlign w:val="bottom"/>
            <w:gridSpan w:val="6"/>
          </w:tcPr>
          <w:p>
            <w:pPr>
              <w:spacing w:after="0"/>
              <w:rPr>
                <w:sz w:val="18"/>
                <w:szCs w:val="18"/>
                <w:color w:val="auto"/>
              </w:rPr>
            </w:pPr>
          </w:p>
        </w:tc>
        <w:tc>
          <w:tcPr>
            <w:tcW w:w="300" w:type="dxa"/>
            <w:vAlign w:val="bottom"/>
            <w:gridSpan w:val="10"/>
          </w:tcPr>
          <w:p>
            <w:pPr>
              <w:spacing w:after="0"/>
              <w:rPr>
                <w:sz w:val="18"/>
                <w:szCs w:val="18"/>
                <w:color w:val="auto"/>
              </w:rPr>
            </w:pPr>
          </w:p>
        </w:tc>
      </w:tr>
      <w:tr>
        <w:trPr>
          <w:trHeight w:val="225"/>
        </w:trPr>
        <w:tc>
          <w:tcPr>
            <w:tcW w:w="1360" w:type="dxa"/>
            <w:vAlign w:val="bottom"/>
            <w:gridSpan w:val="2"/>
          </w:tcPr>
          <w:p>
            <w:pPr>
              <w:spacing w:after="0" w:line="225" w:lineRule="exact"/>
              <w:rPr>
                <w:sz w:val="20"/>
                <w:szCs w:val="20"/>
                <w:color w:val="auto"/>
              </w:rPr>
            </w:pPr>
            <w:r>
              <w:rPr>
                <w:rFonts w:ascii="Times New Roman" w:cs="Times New Roman" w:eastAsia="Times New Roman" w:hAnsi="Times New Roman"/>
                <w:sz w:val="20"/>
                <w:szCs w:val="20"/>
                <w:color w:val="auto"/>
              </w:rPr>
              <w:t>10.12</w:t>
            </w:r>
            <w:r>
              <w:rPr>
                <w:rFonts w:ascii="Arial" w:cs="Arial" w:eastAsia="Arial" w:hAnsi="Arial"/>
                <w:sz w:val="15"/>
                <w:szCs w:val="15"/>
                <w:color w:val="auto"/>
              </w:rPr>
              <w:t>†</w:t>
            </w:r>
            <w:r>
              <w:rPr>
                <w:rFonts w:ascii="Times New Roman" w:cs="Times New Roman" w:eastAsia="Times New Roman" w:hAnsi="Times New Roman"/>
                <w:sz w:val="20"/>
                <w:szCs w:val="20"/>
                <w:color w:val="auto"/>
              </w:rPr>
              <w:t>+</w:t>
            </w:r>
          </w:p>
        </w:tc>
        <w:tc>
          <w:tcPr>
            <w:tcW w:w="9080" w:type="dxa"/>
            <w:vAlign w:val="bottom"/>
            <w:gridSpan w:val="38"/>
          </w:tcPr>
          <w:p>
            <w:pPr>
              <w:spacing w:after="0" w:line="225" w:lineRule="exact"/>
              <w:rPr>
                <w:sz w:val="20"/>
                <w:szCs w:val="20"/>
                <w:color w:val="auto"/>
              </w:rPr>
            </w:pPr>
            <w:r>
              <w:rPr>
                <w:rFonts w:ascii="Times New Roman" w:cs="Times New Roman" w:eastAsia="Times New Roman" w:hAnsi="Times New Roman"/>
                <w:sz w:val="20"/>
                <w:szCs w:val="20"/>
                <w:color w:val="0D248E"/>
              </w:rPr>
              <w:t>License Agreement, by and between the Company and Lonza Sales AG, dated October 21, 2021, as amended</w:t>
            </w: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780" w:type="dxa"/>
            <w:vAlign w:val="bottom"/>
            <w:tcBorders>
              <w:top w:val="single" w:sz="8" w:color="0D248E"/>
            </w:tcBorders>
            <w:gridSpan w:val="28"/>
          </w:tcPr>
          <w:p>
            <w:pPr>
              <w:spacing w:after="0" w:line="210" w:lineRule="exact"/>
              <w:rPr>
                <w:sz w:val="20"/>
                <w:szCs w:val="20"/>
                <w:color w:val="auto"/>
              </w:rPr>
            </w:pPr>
            <w:r>
              <w:rPr>
                <w:rFonts w:ascii="Times New Roman" w:cs="Times New Roman" w:eastAsia="Times New Roman" w:hAnsi="Times New Roman"/>
                <w:sz w:val="20"/>
                <w:szCs w:val="20"/>
                <w:color w:val="0D248E"/>
              </w:rPr>
              <w:t>(incorporated by reference to Exhibit 10.15 to the Company’s Registration Statement on Form S-1 filed on</w:t>
            </w:r>
          </w:p>
        </w:tc>
        <w:tc>
          <w:tcPr>
            <w:tcW w:w="300" w:type="dxa"/>
            <w:vAlign w:val="bottom"/>
            <w:gridSpan w:val="10"/>
          </w:tcPr>
          <w:p>
            <w:pPr>
              <w:spacing w:after="0"/>
              <w:rPr>
                <w:sz w:val="18"/>
                <w:szCs w:val="18"/>
                <w:color w:val="auto"/>
              </w:rPr>
            </w:pPr>
          </w:p>
        </w:tc>
      </w:tr>
      <w:tr>
        <w:trPr>
          <w:trHeight w:val="209"/>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tcBorders>
              <w:top w:val="single" w:sz="8" w:color="0D248E"/>
            </w:tcBorders>
            <w:gridSpan w:val="20"/>
          </w:tcPr>
          <w:p>
            <w:pPr>
              <w:spacing w:after="0" w:line="209" w:lineRule="exact"/>
              <w:rPr>
                <w:sz w:val="20"/>
                <w:szCs w:val="20"/>
                <w:color w:val="auto"/>
              </w:rPr>
            </w:pPr>
            <w:r>
              <w:rPr>
                <w:rFonts w:ascii="Times New Roman" w:cs="Times New Roman" w:eastAsia="Times New Roman" w:hAnsi="Times New Roman"/>
                <w:sz w:val="20"/>
                <w:szCs w:val="20"/>
                <w:color w:val="0D248E"/>
              </w:rPr>
              <w:t>September 18, 2024).</w:t>
            </w:r>
          </w:p>
        </w:tc>
        <w:tc>
          <w:tcPr>
            <w:tcW w:w="520" w:type="dxa"/>
            <w:vAlign w:val="bottom"/>
            <w:gridSpan w:val="18"/>
          </w:tcPr>
          <w:p>
            <w:pPr>
              <w:spacing w:after="0"/>
              <w:rPr>
                <w:sz w:val="18"/>
                <w:szCs w:val="18"/>
                <w:color w:val="auto"/>
              </w:rPr>
            </w:pPr>
          </w:p>
        </w:tc>
      </w:tr>
      <w:tr>
        <w:trPr>
          <w:trHeight w:val="600"/>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Borders>
              <w:top w:val="single" w:sz="8" w:color="0D248E"/>
            </w:tcBorders>
          </w:tcPr>
          <w:p>
            <w:pPr>
              <w:spacing w:after="0"/>
              <w:rPr>
                <w:sz w:val="24"/>
                <w:szCs w:val="24"/>
                <w:color w:val="auto"/>
              </w:rPr>
            </w:pPr>
          </w:p>
        </w:tc>
        <w:tc>
          <w:tcPr>
            <w:tcW w:w="2580" w:type="dxa"/>
            <w:vAlign w:val="bottom"/>
            <w:gridSpan w:val="6"/>
          </w:tcPr>
          <w:p>
            <w:pPr>
              <w:jc w:val="right"/>
              <w:ind w:right="200"/>
              <w:spacing w:after="0"/>
              <w:rPr>
                <w:sz w:val="20"/>
                <w:szCs w:val="20"/>
                <w:color w:val="auto"/>
              </w:rPr>
            </w:pPr>
            <w:r>
              <w:rPr>
                <w:rFonts w:ascii="Times New Roman" w:cs="Times New Roman" w:eastAsia="Times New Roman" w:hAnsi="Times New Roman"/>
                <w:sz w:val="20"/>
                <w:szCs w:val="20"/>
                <w:color w:val="auto"/>
              </w:rPr>
              <w:t>124</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2240" w:h="15840" w:orient="portrait"/>
          <w:cols w:equalWidth="0" w:num="1">
            <w:col w:w="10440"/>
          </w:cols>
          <w:pgMar w:left="900" w:top="925" w:right="900" w:bottom="334"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8500" w:type="dxa"/>
            <w:vAlign w:val="bottom"/>
            <w:tcBorders>
              <w:bottom w:val="single" w:sz="8" w:color="0D248E"/>
            </w:tcBorders>
            <w:gridSpan w:val="9"/>
          </w:tcPr>
          <w:p>
            <w:pPr>
              <w:spacing w:after="0"/>
              <w:rPr>
                <w:sz w:val="20"/>
                <w:szCs w:val="20"/>
                <w:color w:val="auto"/>
              </w:rPr>
            </w:pPr>
            <w:r>
              <w:rPr>
                <w:rFonts w:ascii="Times New Roman" w:cs="Times New Roman" w:eastAsia="Times New Roman" w:hAnsi="Times New Roman"/>
                <w:sz w:val="20"/>
                <w:szCs w:val="20"/>
                <w:color w:val="0D248E"/>
                <w:w w:val="99"/>
              </w:rPr>
              <w:t>Lease Agreement, by and between the Company and BXP Waltham Woods LLC, dated as of July 3, 2024</w:t>
            </w:r>
          </w:p>
        </w:tc>
        <w:tc>
          <w:tcPr>
            <w:tcW w:w="520" w:type="dxa"/>
            <w:vAlign w:val="bottom"/>
            <w:gridSpan w:val="7"/>
          </w:tcPr>
          <w:p>
            <w:pPr>
              <w:spacing w:after="0"/>
              <w:rPr>
                <w:sz w:val="19"/>
                <w:szCs w:val="19"/>
                <w:color w:val="auto"/>
              </w:rPr>
            </w:pPr>
          </w:p>
        </w:tc>
      </w:tr>
      <w:tr>
        <w:trPr>
          <w:trHeight w:val="209"/>
        </w:trPr>
        <w:tc>
          <w:tcPr>
            <w:tcW w:w="1360" w:type="dxa"/>
            <w:vAlign w:val="bottom"/>
          </w:tcPr>
          <w:p>
            <w:pPr>
              <w:spacing w:after="0"/>
              <w:rPr>
                <w:sz w:val="18"/>
                <w:szCs w:val="18"/>
                <w:color w:val="auto"/>
              </w:rPr>
            </w:pPr>
          </w:p>
        </w:tc>
        <w:tc>
          <w:tcPr>
            <w:tcW w:w="9020" w:type="dxa"/>
            <w:vAlign w:val="bottom"/>
            <w:gridSpan w:val="16"/>
          </w:tcPr>
          <w:p>
            <w:pPr>
              <w:spacing w:after="0" w:line="209" w:lineRule="exact"/>
              <w:rPr>
                <w:sz w:val="20"/>
                <w:szCs w:val="20"/>
                <w:color w:val="auto"/>
              </w:rPr>
            </w:pPr>
            <w:r>
              <w:rPr>
                <w:rFonts w:ascii="Times New Roman" w:cs="Times New Roman" w:eastAsia="Times New Roman" w:hAnsi="Times New Roman"/>
                <w:sz w:val="20"/>
                <w:szCs w:val="20"/>
                <w:color w:val="0D248E"/>
              </w:rPr>
              <w:t>(incorporated by reference to Exhibit 10.18 to the Company’s Registration Statement on Form S-1 filed on</w:t>
            </w:r>
          </w:p>
        </w:tc>
      </w:tr>
      <w:tr>
        <w:trPr>
          <w:trHeight w:val="210"/>
        </w:trPr>
        <w:tc>
          <w:tcPr>
            <w:tcW w:w="1360" w:type="dxa"/>
            <w:vAlign w:val="bottom"/>
          </w:tcPr>
          <w:p>
            <w:pPr>
              <w:spacing w:after="0"/>
              <w:rPr>
                <w:sz w:val="18"/>
                <w:szCs w:val="18"/>
                <w:color w:val="auto"/>
              </w:rPr>
            </w:pPr>
          </w:p>
        </w:tc>
        <w:tc>
          <w:tcPr>
            <w:tcW w:w="8540" w:type="dxa"/>
            <w:vAlign w:val="bottom"/>
            <w:tcBorders>
              <w:top w:val="single" w:sz="8" w:color="0D248E"/>
            </w:tcBorders>
            <w:gridSpan w:val="11"/>
          </w:tcPr>
          <w:p>
            <w:pPr>
              <w:spacing w:after="0" w:line="210" w:lineRule="exact"/>
              <w:rPr>
                <w:sz w:val="20"/>
                <w:szCs w:val="20"/>
                <w:color w:val="auto"/>
              </w:rPr>
            </w:pPr>
            <w:r>
              <w:rPr>
                <w:rFonts w:ascii="Times New Roman" w:cs="Times New Roman" w:eastAsia="Times New Roman" w:hAnsi="Times New Roman"/>
                <w:sz w:val="20"/>
                <w:szCs w:val="20"/>
                <w:color w:val="0D248E"/>
              </w:rPr>
              <w:t>September 18, 2024).</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1720" w:type="dxa"/>
            <w:vAlign w:val="bottom"/>
            <w:shd w:val="clear" w:color="auto" w:fill="0D248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19.1*</w:t>
            </w:r>
          </w:p>
        </w:tc>
        <w:tc>
          <w:tcPr>
            <w:tcW w:w="3380" w:type="dxa"/>
            <w:vAlign w:val="bottom"/>
            <w:tcBorders>
              <w:bottom w:val="single" w:sz="8" w:color="0D248E"/>
            </w:tcBorders>
            <w:gridSpan w:val="3"/>
          </w:tcPr>
          <w:p>
            <w:pPr>
              <w:spacing w:after="0" w:line="225" w:lineRule="exact"/>
              <w:rPr>
                <w:sz w:val="20"/>
                <w:szCs w:val="20"/>
                <w:color w:val="auto"/>
              </w:rPr>
            </w:pPr>
            <w:r>
              <w:rPr>
                <w:rFonts w:ascii="Times New Roman" w:cs="Times New Roman" w:eastAsia="Times New Roman" w:hAnsi="Times New Roman"/>
                <w:sz w:val="20"/>
                <w:szCs w:val="20"/>
                <w:color w:val="0D248E"/>
                <w:w w:val="99"/>
              </w:rPr>
              <w:t>Upstream Bio, Inc. Insider Trading Policy</w:t>
            </w:r>
          </w:p>
        </w:tc>
        <w:tc>
          <w:tcPr>
            <w:tcW w:w="5640" w:type="dxa"/>
            <w:vAlign w:val="bottom"/>
            <w:gridSpan w:val="13"/>
          </w:tcPr>
          <w:p>
            <w:pPr>
              <w:spacing w:after="0"/>
              <w:rPr>
                <w:sz w:val="19"/>
                <w:szCs w:val="19"/>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21.1</w:t>
            </w:r>
          </w:p>
        </w:tc>
        <w:tc>
          <w:tcPr>
            <w:tcW w:w="9020" w:type="dxa"/>
            <w:vAlign w:val="bottom"/>
            <w:gridSpan w:val="16"/>
          </w:tcPr>
          <w:p>
            <w:pPr>
              <w:spacing w:after="0" w:line="225" w:lineRule="exact"/>
              <w:rPr>
                <w:sz w:val="20"/>
                <w:szCs w:val="20"/>
                <w:color w:val="auto"/>
              </w:rPr>
            </w:pPr>
            <w:r>
              <w:rPr>
                <w:rFonts w:ascii="Times New Roman" w:cs="Times New Roman" w:eastAsia="Times New Roman" w:hAnsi="Times New Roman"/>
                <w:sz w:val="20"/>
                <w:szCs w:val="20"/>
                <w:color w:val="0D248E"/>
              </w:rPr>
              <w:t>Subsidiary of the registrant (incorporated by reference to Exhibit 21.1 to the Company’s Registration Statement</w:t>
            </w:r>
          </w:p>
        </w:tc>
      </w:tr>
      <w:tr>
        <w:trPr>
          <w:trHeight w:val="210"/>
        </w:trPr>
        <w:tc>
          <w:tcPr>
            <w:tcW w:w="1360" w:type="dxa"/>
            <w:vAlign w:val="bottom"/>
          </w:tcPr>
          <w:p>
            <w:pPr>
              <w:spacing w:after="0"/>
              <w:rPr>
                <w:sz w:val="18"/>
                <w:szCs w:val="18"/>
                <w:color w:val="auto"/>
              </w:rPr>
            </w:pPr>
          </w:p>
        </w:tc>
        <w:tc>
          <w:tcPr>
            <w:tcW w:w="3460" w:type="dxa"/>
            <w:vAlign w:val="bottom"/>
            <w:tcBorders>
              <w:top w:val="single" w:sz="8" w:color="0D248E"/>
              <w:bottom w:val="single" w:sz="8" w:color="0D248E"/>
            </w:tcBorders>
            <w:gridSpan w:val="4"/>
          </w:tcPr>
          <w:p>
            <w:pPr>
              <w:spacing w:after="0" w:line="210" w:lineRule="exact"/>
              <w:rPr>
                <w:sz w:val="20"/>
                <w:szCs w:val="20"/>
                <w:color w:val="auto"/>
              </w:rPr>
            </w:pPr>
            <w:r>
              <w:rPr>
                <w:rFonts w:ascii="Times New Roman" w:cs="Times New Roman" w:eastAsia="Times New Roman" w:hAnsi="Times New Roman"/>
                <w:sz w:val="20"/>
                <w:szCs w:val="20"/>
                <w:color w:val="0D248E"/>
                <w:w w:val="99"/>
              </w:rPr>
              <w:t>on Form S-1 filed on September 18, 2024).</w:t>
            </w:r>
          </w:p>
        </w:tc>
        <w:tc>
          <w:tcPr>
            <w:tcW w:w="5480" w:type="dxa"/>
            <w:vAlign w:val="bottom"/>
            <w:tcBorders>
              <w:top w:val="single" w:sz="8" w:color="0D248E"/>
            </w:tcBorders>
            <w:gridSpan w:val="9"/>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23.1*</w:t>
            </w:r>
          </w:p>
        </w:tc>
        <w:tc>
          <w:tcPr>
            <w:tcW w:w="7160" w:type="dxa"/>
            <w:vAlign w:val="bottom"/>
            <w:tcBorders>
              <w:bottom w:val="single" w:sz="8" w:color="0D248E"/>
            </w:tcBorders>
            <w:gridSpan w:val="7"/>
          </w:tcPr>
          <w:p>
            <w:pPr>
              <w:spacing w:after="0" w:line="225" w:lineRule="exact"/>
              <w:rPr>
                <w:sz w:val="20"/>
                <w:szCs w:val="20"/>
                <w:color w:val="auto"/>
              </w:rPr>
            </w:pPr>
            <w:r>
              <w:rPr>
                <w:rFonts w:ascii="Times New Roman" w:cs="Times New Roman" w:eastAsia="Times New Roman" w:hAnsi="Times New Roman"/>
                <w:sz w:val="20"/>
                <w:szCs w:val="20"/>
                <w:color w:val="0D248E"/>
                <w:w w:val="99"/>
              </w:rPr>
              <w:t>Consent of PricewaterhouseCoopers LLP, independent registered public accounting firm.</w:t>
            </w:r>
          </w:p>
        </w:tc>
        <w:tc>
          <w:tcPr>
            <w:tcW w:w="1860" w:type="dxa"/>
            <w:vAlign w:val="bottom"/>
            <w:gridSpan w:val="9"/>
          </w:tcPr>
          <w:p>
            <w:pPr>
              <w:spacing w:after="0"/>
              <w:rPr>
                <w:sz w:val="19"/>
                <w:szCs w:val="19"/>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24.1*</w:t>
            </w:r>
          </w:p>
        </w:tc>
        <w:tc>
          <w:tcPr>
            <w:tcW w:w="3820" w:type="dxa"/>
            <w:vAlign w:val="bottom"/>
            <w:tcBorders>
              <w:bottom w:val="single" w:sz="8" w:color="0D248E"/>
            </w:tcBorders>
            <w:gridSpan w:val="5"/>
          </w:tcPr>
          <w:p>
            <w:pPr>
              <w:spacing w:after="0" w:line="225" w:lineRule="exact"/>
              <w:rPr>
                <w:sz w:val="20"/>
                <w:szCs w:val="20"/>
                <w:color w:val="auto"/>
              </w:rPr>
            </w:pPr>
            <w:r>
              <w:rPr>
                <w:rFonts w:ascii="Times New Roman" w:cs="Times New Roman" w:eastAsia="Times New Roman" w:hAnsi="Times New Roman"/>
                <w:sz w:val="20"/>
                <w:szCs w:val="20"/>
                <w:color w:val="0D248E"/>
                <w:w w:val="99"/>
              </w:rPr>
              <w:t>Power of attorney (included on signature page).</w:t>
            </w:r>
          </w:p>
        </w:tc>
        <w:tc>
          <w:tcPr>
            <w:tcW w:w="5200" w:type="dxa"/>
            <w:vAlign w:val="bottom"/>
            <w:gridSpan w:val="11"/>
          </w:tcPr>
          <w:p>
            <w:pPr>
              <w:spacing w:after="0"/>
              <w:rPr>
                <w:sz w:val="19"/>
                <w:szCs w:val="19"/>
                <w:color w:val="auto"/>
              </w:rPr>
            </w:pPr>
          </w:p>
        </w:tc>
      </w:tr>
      <w:tr>
        <w:trPr>
          <w:trHeight w:val="226"/>
        </w:trPr>
        <w:tc>
          <w:tcPr>
            <w:tcW w:w="13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31.1*</w:t>
            </w:r>
          </w:p>
        </w:tc>
        <w:tc>
          <w:tcPr>
            <w:tcW w:w="9020" w:type="dxa"/>
            <w:vAlign w:val="bottom"/>
            <w:gridSpan w:val="16"/>
          </w:tcPr>
          <w:p>
            <w:pPr>
              <w:spacing w:after="0" w:line="226" w:lineRule="exact"/>
              <w:rPr>
                <w:sz w:val="20"/>
                <w:szCs w:val="20"/>
                <w:color w:val="auto"/>
              </w:rPr>
            </w:pPr>
            <w:r>
              <w:rPr>
                <w:rFonts w:ascii="Times New Roman" w:cs="Times New Roman" w:eastAsia="Times New Roman" w:hAnsi="Times New Roman"/>
                <w:sz w:val="20"/>
                <w:szCs w:val="20"/>
                <w:color w:val="0D248E"/>
              </w:rPr>
              <w:t>Certification of Principal Executive Officer Pursuant to Rules 13a-14(a) and 15d-14(a) under the Securities</w:t>
            </w:r>
          </w:p>
        </w:tc>
      </w:tr>
      <w:tr>
        <w:trPr>
          <w:trHeight w:val="209"/>
        </w:trPr>
        <w:tc>
          <w:tcPr>
            <w:tcW w:w="1360" w:type="dxa"/>
            <w:vAlign w:val="bottom"/>
          </w:tcPr>
          <w:p>
            <w:pPr>
              <w:spacing w:after="0"/>
              <w:rPr>
                <w:sz w:val="18"/>
                <w:szCs w:val="18"/>
                <w:color w:val="auto"/>
              </w:rPr>
            </w:pPr>
          </w:p>
        </w:tc>
        <w:tc>
          <w:tcPr>
            <w:tcW w:w="7660" w:type="dxa"/>
            <w:vAlign w:val="bottom"/>
            <w:tcBorders>
              <w:top w:val="single" w:sz="8" w:color="0D248E"/>
              <w:bottom w:val="single" w:sz="8" w:color="0D248E"/>
            </w:tcBorders>
            <w:gridSpan w:val="8"/>
          </w:tcPr>
          <w:p>
            <w:pPr>
              <w:spacing w:after="0" w:line="209" w:lineRule="exact"/>
              <w:rPr>
                <w:sz w:val="20"/>
                <w:szCs w:val="20"/>
                <w:color w:val="auto"/>
              </w:rPr>
            </w:pPr>
            <w:r>
              <w:rPr>
                <w:rFonts w:ascii="Times New Roman" w:cs="Times New Roman" w:eastAsia="Times New Roman" w:hAnsi="Times New Roman"/>
                <w:sz w:val="20"/>
                <w:szCs w:val="20"/>
                <w:color w:val="0D248E"/>
                <w:w w:val="99"/>
              </w:rPr>
              <w:t>Exchange Act of 1934, as Adopted Pursuant to Section 302 of the Sarbanes-Oxley Act of 2002.</w:t>
            </w:r>
          </w:p>
        </w:tc>
        <w:tc>
          <w:tcPr>
            <w:tcW w:w="920" w:type="dxa"/>
            <w:vAlign w:val="bottom"/>
            <w:tcBorders>
              <w:top w:val="single" w:sz="8" w:color="0D248E"/>
            </w:tcBorders>
            <w:gridSpan w:val="4"/>
          </w:tcPr>
          <w:p>
            <w:pPr>
              <w:spacing w:after="0"/>
              <w:rPr>
                <w:sz w:val="18"/>
                <w:szCs w:val="18"/>
                <w:color w:val="auto"/>
              </w:rPr>
            </w:pPr>
          </w:p>
        </w:tc>
        <w:tc>
          <w:tcPr>
            <w:tcW w:w="4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31.2*</w:t>
            </w:r>
          </w:p>
        </w:tc>
        <w:tc>
          <w:tcPr>
            <w:tcW w:w="9020" w:type="dxa"/>
            <w:vAlign w:val="bottom"/>
            <w:gridSpan w:val="16"/>
          </w:tcPr>
          <w:p>
            <w:pPr>
              <w:spacing w:after="0" w:line="225" w:lineRule="exact"/>
              <w:rPr>
                <w:sz w:val="20"/>
                <w:szCs w:val="20"/>
                <w:color w:val="auto"/>
              </w:rPr>
            </w:pPr>
            <w:r>
              <w:rPr>
                <w:rFonts w:ascii="Times New Roman" w:cs="Times New Roman" w:eastAsia="Times New Roman" w:hAnsi="Times New Roman"/>
                <w:sz w:val="20"/>
                <w:szCs w:val="20"/>
                <w:color w:val="0D248E"/>
              </w:rPr>
              <w:t>Certification of Principal Financial Officer Pursuant to Rules 13a-14(a) and 15d-14(a) under the Securities</w:t>
            </w:r>
          </w:p>
        </w:tc>
      </w:tr>
      <w:tr>
        <w:trPr>
          <w:trHeight w:val="210"/>
        </w:trPr>
        <w:tc>
          <w:tcPr>
            <w:tcW w:w="1360" w:type="dxa"/>
            <w:vAlign w:val="bottom"/>
          </w:tcPr>
          <w:p>
            <w:pPr>
              <w:spacing w:after="0"/>
              <w:rPr>
                <w:sz w:val="18"/>
                <w:szCs w:val="18"/>
                <w:color w:val="auto"/>
              </w:rPr>
            </w:pPr>
          </w:p>
        </w:tc>
        <w:tc>
          <w:tcPr>
            <w:tcW w:w="7660" w:type="dxa"/>
            <w:vAlign w:val="bottom"/>
            <w:tcBorders>
              <w:top w:val="single" w:sz="8" w:color="0D248E"/>
              <w:bottom w:val="single" w:sz="8" w:color="0D248E"/>
            </w:tcBorders>
            <w:gridSpan w:val="8"/>
          </w:tcPr>
          <w:p>
            <w:pPr>
              <w:spacing w:after="0" w:line="210" w:lineRule="exact"/>
              <w:rPr>
                <w:sz w:val="20"/>
                <w:szCs w:val="20"/>
                <w:color w:val="auto"/>
              </w:rPr>
            </w:pPr>
            <w:r>
              <w:rPr>
                <w:rFonts w:ascii="Times New Roman" w:cs="Times New Roman" w:eastAsia="Times New Roman" w:hAnsi="Times New Roman"/>
                <w:sz w:val="20"/>
                <w:szCs w:val="20"/>
                <w:color w:val="0D248E"/>
                <w:w w:val="99"/>
              </w:rPr>
              <w:t>Exchange Act of 1934, as Adopted Pursuant to Section 302 of the Sarbanes-Oxley Act of 2002.</w:t>
            </w:r>
          </w:p>
        </w:tc>
        <w:tc>
          <w:tcPr>
            <w:tcW w:w="860" w:type="dxa"/>
            <w:vAlign w:val="bottom"/>
            <w:tcBorders>
              <w:top w:val="single" w:sz="8" w:color="0D248E"/>
            </w:tcBorders>
            <w:gridSpan w:val="2"/>
          </w:tcPr>
          <w:p>
            <w:pPr>
              <w:spacing w:after="0"/>
              <w:rPr>
                <w:sz w:val="18"/>
                <w:szCs w:val="18"/>
                <w:color w:val="auto"/>
              </w:rPr>
            </w:pPr>
          </w:p>
        </w:tc>
        <w:tc>
          <w:tcPr>
            <w:tcW w:w="46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32.1**</w:t>
            </w:r>
          </w:p>
        </w:tc>
        <w:tc>
          <w:tcPr>
            <w:tcW w:w="9020" w:type="dxa"/>
            <w:vAlign w:val="bottom"/>
            <w:gridSpan w:val="16"/>
          </w:tcPr>
          <w:p>
            <w:pPr>
              <w:spacing w:after="0" w:line="225" w:lineRule="exact"/>
              <w:rPr>
                <w:sz w:val="20"/>
                <w:szCs w:val="20"/>
                <w:color w:val="auto"/>
              </w:rPr>
            </w:pPr>
            <w:r>
              <w:rPr>
                <w:rFonts w:ascii="Times New Roman" w:cs="Times New Roman" w:eastAsia="Times New Roman" w:hAnsi="Times New Roman"/>
                <w:sz w:val="20"/>
                <w:szCs w:val="20"/>
                <w:color w:val="0D248E"/>
              </w:rPr>
              <w:t>Certification of Principal Executive Officer Pursuant to 18 U.S.C. Section 1350, as Adopted Pursuant to Section</w:t>
            </w:r>
          </w:p>
        </w:tc>
      </w:tr>
      <w:tr>
        <w:trPr>
          <w:trHeight w:val="210"/>
        </w:trPr>
        <w:tc>
          <w:tcPr>
            <w:tcW w:w="1360" w:type="dxa"/>
            <w:vAlign w:val="bottom"/>
          </w:tcPr>
          <w:p>
            <w:pPr>
              <w:spacing w:after="0"/>
              <w:rPr>
                <w:sz w:val="18"/>
                <w:szCs w:val="18"/>
                <w:color w:val="auto"/>
              </w:rPr>
            </w:pPr>
          </w:p>
        </w:tc>
        <w:tc>
          <w:tcPr>
            <w:tcW w:w="3200" w:type="dxa"/>
            <w:vAlign w:val="bottom"/>
            <w:tcBorders>
              <w:top w:val="single" w:sz="8" w:color="0D248E"/>
              <w:bottom w:val="single" w:sz="8" w:color="0D248E"/>
            </w:tcBorders>
            <w:gridSpan w:val="2"/>
          </w:tcPr>
          <w:p>
            <w:pPr>
              <w:spacing w:after="0" w:line="210" w:lineRule="exact"/>
              <w:rPr>
                <w:sz w:val="20"/>
                <w:szCs w:val="20"/>
                <w:color w:val="auto"/>
              </w:rPr>
            </w:pPr>
            <w:r>
              <w:rPr>
                <w:rFonts w:ascii="Times New Roman" w:cs="Times New Roman" w:eastAsia="Times New Roman" w:hAnsi="Times New Roman"/>
                <w:sz w:val="20"/>
                <w:szCs w:val="20"/>
                <w:color w:val="0D248E"/>
                <w:w w:val="99"/>
              </w:rPr>
              <w:t>906 of the Sarbanes-Oxley Act of 2002.</w:t>
            </w:r>
          </w:p>
        </w:tc>
        <w:tc>
          <w:tcPr>
            <w:tcW w:w="5780" w:type="dxa"/>
            <w:vAlign w:val="bottom"/>
            <w:tcBorders>
              <w:top w:val="single" w:sz="8" w:color="0D248E"/>
            </w:tcBorders>
            <w:gridSpan w:val="1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360" w:type="dxa"/>
            <w:vAlign w:val="bottom"/>
          </w:tcPr>
          <w:p>
            <w:pPr>
              <w:spacing w:after="0" w:line="225" w:lineRule="exact"/>
              <w:rPr>
                <w:sz w:val="20"/>
                <w:szCs w:val="20"/>
                <w:color w:val="auto"/>
              </w:rPr>
            </w:pPr>
            <w:r>
              <w:rPr>
                <w:rFonts w:ascii="Times New Roman" w:cs="Times New Roman" w:eastAsia="Times New Roman" w:hAnsi="Times New Roman"/>
                <w:sz w:val="20"/>
                <w:szCs w:val="20"/>
                <w:color w:val="auto"/>
              </w:rPr>
              <w:t>97.1</w:t>
            </w:r>
          </w:p>
        </w:tc>
        <w:tc>
          <w:tcPr>
            <w:tcW w:w="9020" w:type="dxa"/>
            <w:vAlign w:val="bottom"/>
            <w:gridSpan w:val="16"/>
          </w:tcPr>
          <w:p>
            <w:pPr>
              <w:spacing w:after="0" w:line="225" w:lineRule="exact"/>
              <w:rPr>
                <w:sz w:val="20"/>
                <w:szCs w:val="20"/>
                <w:color w:val="auto"/>
              </w:rPr>
            </w:pPr>
            <w:r>
              <w:rPr>
                <w:rFonts w:ascii="Times New Roman" w:cs="Times New Roman" w:eastAsia="Times New Roman" w:hAnsi="Times New Roman"/>
                <w:sz w:val="20"/>
                <w:szCs w:val="20"/>
                <w:color w:val="0D248E"/>
              </w:rPr>
              <w:t>Upstream Bio, Inc. Compensation Recovery Policy (incorporated by reference to Exhibit 97.1 to the Company’s</w:t>
            </w:r>
          </w:p>
        </w:tc>
      </w:tr>
      <w:tr>
        <w:trPr>
          <w:trHeight w:val="210"/>
        </w:trPr>
        <w:tc>
          <w:tcPr>
            <w:tcW w:w="1360" w:type="dxa"/>
            <w:vAlign w:val="bottom"/>
          </w:tcPr>
          <w:p>
            <w:pPr>
              <w:spacing w:after="0"/>
              <w:rPr>
                <w:sz w:val="18"/>
                <w:szCs w:val="18"/>
                <w:color w:val="auto"/>
              </w:rPr>
            </w:pPr>
          </w:p>
        </w:tc>
        <w:tc>
          <w:tcPr>
            <w:tcW w:w="9000" w:type="dxa"/>
            <w:vAlign w:val="bottom"/>
            <w:tcBorders>
              <w:top w:val="single" w:sz="8" w:color="0D248E"/>
            </w:tcBorders>
            <w:gridSpan w:val="15"/>
          </w:tcPr>
          <w:p>
            <w:pPr>
              <w:spacing w:after="0" w:line="210" w:lineRule="exact"/>
              <w:rPr>
                <w:sz w:val="20"/>
                <w:szCs w:val="20"/>
                <w:color w:val="auto"/>
              </w:rPr>
            </w:pPr>
            <w:r>
              <w:rPr>
                <w:rFonts w:ascii="Times New Roman" w:cs="Times New Roman" w:eastAsia="Times New Roman" w:hAnsi="Times New Roman"/>
                <w:sz w:val="20"/>
                <w:szCs w:val="20"/>
                <w:color w:val="0D248E"/>
              </w:rPr>
              <w:t>Annual Report on Form 10-K filed on March 12, 2025).</w:t>
            </w:r>
          </w:p>
        </w:tc>
        <w:tc>
          <w:tcPr>
            <w:tcW w:w="20" w:type="dxa"/>
            <w:vAlign w:val="bottom"/>
          </w:tcPr>
          <w:p>
            <w:pPr>
              <w:spacing w:after="0"/>
              <w:rPr>
                <w:sz w:val="18"/>
                <w:szCs w:val="18"/>
                <w:color w:val="auto"/>
              </w:rPr>
            </w:pPr>
          </w:p>
        </w:tc>
      </w:tr>
      <w:tr>
        <w:trPr>
          <w:trHeight w:val="20"/>
        </w:trPr>
        <w:tc>
          <w:tcPr>
            <w:tcW w:w="1360" w:type="dxa"/>
            <w:vAlign w:val="bottom"/>
          </w:tcPr>
          <w:p>
            <w:pPr>
              <w:spacing w:after="0" w:line="20" w:lineRule="exact"/>
              <w:rPr>
                <w:sz w:val="1"/>
                <w:szCs w:val="1"/>
                <w:color w:val="auto"/>
              </w:rPr>
            </w:pPr>
          </w:p>
        </w:tc>
        <w:tc>
          <w:tcPr>
            <w:tcW w:w="4480" w:type="dxa"/>
            <w:vAlign w:val="bottom"/>
            <w:gridSpan w:val="6"/>
            <w:shd w:val="clear" w:color="auto" w:fill="0D248E"/>
          </w:tcPr>
          <w:p>
            <w:pPr>
              <w:spacing w:after="0" w:line="20" w:lineRule="exact"/>
              <w:rPr>
                <w:sz w:val="1"/>
                <w:szCs w:val="1"/>
                <w:color w:val="auto"/>
              </w:rPr>
            </w:pPr>
          </w:p>
        </w:tc>
        <w:tc>
          <w:tcPr>
            <w:tcW w:w="4540" w:type="dxa"/>
            <w:vAlign w:val="bottom"/>
            <w:gridSpan w:val="10"/>
          </w:tcPr>
          <w:p>
            <w:pPr>
              <w:spacing w:after="0" w:line="20" w:lineRule="exact"/>
              <w:rPr>
                <w:sz w:val="1"/>
                <w:szCs w:val="1"/>
                <w:color w:val="auto"/>
              </w:rPr>
            </w:pPr>
          </w:p>
        </w:tc>
      </w:tr>
      <w:tr>
        <w:trPr>
          <w:trHeight w:val="226"/>
        </w:trPr>
        <w:tc>
          <w:tcPr>
            <w:tcW w:w="1360" w:type="dxa"/>
            <w:vAlign w:val="bottom"/>
          </w:tcPr>
          <w:p>
            <w:pPr>
              <w:spacing w:after="0" w:line="226" w:lineRule="exact"/>
              <w:rPr>
                <w:sz w:val="20"/>
                <w:szCs w:val="20"/>
                <w:color w:val="auto"/>
              </w:rPr>
            </w:pPr>
            <w:r>
              <w:rPr>
                <w:rFonts w:ascii="Times New Roman" w:cs="Times New Roman" w:eastAsia="Times New Roman" w:hAnsi="Times New Roman"/>
                <w:sz w:val="20"/>
                <w:szCs w:val="20"/>
                <w:color w:val="auto"/>
              </w:rPr>
              <w:t>101.INS</w:t>
            </w:r>
          </w:p>
        </w:tc>
        <w:tc>
          <w:tcPr>
            <w:tcW w:w="9020" w:type="dxa"/>
            <w:vAlign w:val="bottom"/>
            <w:gridSpan w:val="16"/>
          </w:tcPr>
          <w:p>
            <w:pPr>
              <w:spacing w:after="0" w:line="226" w:lineRule="exact"/>
              <w:rPr>
                <w:sz w:val="20"/>
                <w:szCs w:val="20"/>
                <w:color w:val="auto"/>
              </w:rPr>
            </w:pPr>
            <w:r>
              <w:rPr>
                <w:rFonts w:ascii="Times New Roman" w:cs="Times New Roman" w:eastAsia="Times New Roman" w:hAnsi="Times New Roman"/>
                <w:sz w:val="20"/>
                <w:szCs w:val="20"/>
                <w:color w:val="auto"/>
              </w:rPr>
              <w:t>Inline XBRL Instance Document – the instance document does not appear in the Interactive Data File because</w:t>
            </w:r>
          </w:p>
        </w:tc>
      </w:tr>
      <w:tr>
        <w:trPr>
          <w:trHeight w:val="246"/>
        </w:trPr>
        <w:tc>
          <w:tcPr>
            <w:tcW w:w="1360" w:type="dxa"/>
            <w:vAlign w:val="bottom"/>
          </w:tcPr>
          <w:p>
            <w:pPr>
              <w:spacing w:after="0"/>
              <w:rPr>
                <w:sz w:val="21"/>
                <w:szCs w:val="21"/>
                <w:color w:val="auto"/>
              </w:rPr>
            </w:pPr>
          </w:p>
        </w:tc>
        <w:tc>
          <w:tcPr>
            <w:tcW w:w="90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XBRL tags are embedded within the Inline XBRL document.</w:t>
            </w:r>
          </w:p>
        </w:tc>
      </w:tr>
      <w:tr>
        <w:trPr>
          <w:trHeight w:val="245"/>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0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Inline XBRL Taxonomy Extension Schema With Embedded Linkbase Documents.</w:t>
            </w:r>
          </w:p>
        </w:tc>
      </w:tr>
      <w:tr>
        <w:trPr>
          <w:trHeight w:val="267"/>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9020" w:type="dxa"/>
            <w:vAlign w:val="bottom"/>
            <w:gridSpan w:val="16"/>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92075</wp:posOffset>
                </wp:positionV>
                <wp:extent cx="117094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7094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7.25pt" to="91.1pt,7.25pt" o:allowincell="f" strokecolor="#000000" strokeweight="0.4799pt"/>
            </w:pict>
          </mc:Fallback>
        </mc:AlternateContent>
      </w:r>
    </w:p>
    <w:p>
      <w:pPr>
        <w:spacing w:after="0" w:line="151" w:lineRule="exact"/>
        <w:rPr>
          <w:sz w:val="20"/>
          <w:szCs w:val="20"/>
          <w:color w:val="auto"/>
        </w:rPr>
      </w:pPr>
    </w:p>
    <w:p>
      <w:pPr>
        <w:ind w:left="160" w:hanging="153"/>
        <w:spacing w:after="0"/>
        <w:tabs>
          <w:tab w:leader="none" w:pos="16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119" w:lineRule="exact"/>
        <w:rPr>
          <w:rFonts w:ascii="Times New Roman" w:cs="Times New Roman" w:eastAsia="Times New Roman" w:hAnsi="Times New Roman"/>
          <w:sz w:val="20"/>
          <w:szCs w:val="20"/>
          <w:color w:val="auto"/>
        </w:rPr>
      </w:pPr>
    </w:p>
    <w:p>
      <w:pPr>
        <w:jc w:val="both"/>
        <w:ind w:left="500" w:right="80" w:hanging="493"/>
        <w:spacing w:after="0" w:line="259" w:lineRule="auto"/>
        <w:tabs>
          <w:tab w:leader="none" w:pos="5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furnished in Exhibit 32.1 hereto are deemed to be furnished with this Annual Report on Form 10-K and will not be deemed to be “filed” for purposes of Section 18 of the Securities Exchange Act of 1934, as amended, except to the extent that the registrant specifically incorporates it by reference.</w:t>
      </w:r>
    </w:p>
    <w:p>
      <w:pPr>
        <w:spacing w:after="0" w:line="65" w:lineRule="exact"/>
        <w:rPr>
          <w:sz w:val="20"/>
          <w:szCs w:val="20"/>
          <w:color w:val="auto"/>
        </w:rPr>
      </w:pPr>
    </w:p>
    <w:p>
      <w:pPr>
        <w:ind w:left="500" w:hanging="493"/>
        <w:spacing w:after="0"/>
        <w:tabs>
          <w:tab w:leader="none" w:pos="50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 contract or arrangement.</w:t>
      </w:r>
    </w:p>
    <w:p>
      <w:pPr>
        <w:spacing w:after="0" w:line="120" w:lineRule="exact"/>
        <w:rPr>
          <w:sz w:val="20"/>
          <w:szCs w:val="20"/>
          <w:color w:val="auto"/>
        </w:rPr>
      </w:pPr>
    </w:p>
    <w:p>
      <w:pPr>
        <w:ind w:left="500" w:right="20" w:hanging="493"/>
        <w:spacing w:after="0" w:line="258" w:lineRule="auto"/>
        <w:tabs>
          <w:tab w:leader="none" w:pos="5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68" w:lineRule="exact"/>
        <w:rPr>
          <w:sz w:val="20"/>
          <w:szCs w:val="20"/>
          <w:color w:val="auto"/>
        </w:rPr>
      </w:pPr>
    </w:p>
    <w:p>
      <w:pPr>
        <w:ind w:left="500" w:hanging="493"/>
        <w:spacing w:after="0"/>
        <w:tabs>
          <w:tab w:leader="none" w:pos="500" w:val="left"/>
        </w:tabs>
        <w:numPr>
          <w:ilvl w:val="0"/>
          <w:numId w:val="71"/>
        </w:numPr>
        <w:rPr>
          <w:rFonts w:ascii="Arial" w:cs="Arial" w:eastAsia="Arial" w:hAnsi="Arial"/>
          <w:sz w:val="15"/>
          <w:szCs w:val="15"/>
          <w:color w:val="auto"/>
        </w:rPr>
      </w:pPr>
      <w:r>
        <w:rPr>
          <w:rFonts w:ascii="Times New Roman" w:cs="Times New Roman" w:eastAsia="Times New Roman" w:hAnsi="Times New Roman"/>
          <w:sz w:val="20"/>
          <w:szCs w:val="20"/>
          <w:color w:val="auto"/>
        </w:rPr>
        <w:t>Portions of this exhibit (indicated by asterisks)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125</w:t>
      </w:r>
    </w:p>
    <w:p>
      <w:pPr>
        <w:sectPr>
          <w:pgSz w:w="12240" w:h="15840" w:orient="portrait"/>
          <w:cols w:equalWidth="0" w:num="1">
            <w:col w:w="10360"/>
          </w:cols>
          <w:pgMar w:left="900" w:top="943" w:right="980" w:bottom="371"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24"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920" w:type="dxa"/>
            <w:vAlign w:val="bottom"/>
          </w:tcPr>
          <w:p>
            <w:pPr>
              <w:spacing w:after="0"/>
              <w:rPr>
                <w:sz w:val="23"/>
                <w:szCs w:val="23"/>
                <w:color w:val="auto"/>
              </w:rPr>
            </w:pPr>
          </w:p>
        </w:tc>
        <w:tc>
          <w:tcPr>
            <w:tcW w:w="7520" w:type="dxa"/>
            <w:vAlign w:val="bottom"/>
            <w:gridSpan w:val="2"/>
          </w:tcPr>
          <w:p>
            <w:pPr>
              <w:ind w:left="2320"/>
              <w:spacing w:after="0"/>
              <w:rPr>
                <w:sz w:val="20"/>
                <w:szCs w:val="20"/>
                <w:color w:val="auto"/>
              </w:rPr>
            </w:pPr>
            <w:r>
              <w:rPr>
                <w:rFonts w:ascii="Times New Roman" w:cs="Times New Roman" w:eastAsia="Times New Roman" w:hAnsi="Times New Roman"/>
                <w:sz w:val="20"/>
                <w:szCs w:val="20"/>
                <w:b w:val="1"/>
                <w:bCs w:val="1"/>
                <w:color w:val="auto"/>
              </w:rPr>
              <w:t>UPSTREAM BIO, INC.</w:t>
            </w:r>
          </w:p>
        </w:tc>
      </w:tr>
      <w:tr>
        <w:trPr>
          <w:trHeight w:val="469"/>
        </w:trPr>
        <w:tc>
          <w:tcPr>
            <w:tcW w:w="2920" w:type="dxa"/>
            <w:vAlign w:val="bottom"/>
          </w:tcPr>
          <w:p>
            <w:pPr>
              <w:spacing w:after="0"/>
              <w:rPr>
                <w:sz w:val="20"/>
                <w:szCs w:val="20"/>
                <w:color w:val="auto"/>
              </w:rPr>
            </w:pPr>
            <w:r>
              <w:rPr>
                <w:rFonts w:ascii="Times New Roman" w:cs="Times New Roman" w:eastAsia="Times New Roman" w:hAnsi="Times New Roman"/>
                <w:sz w:val="20"/>
                <w:szCs w:val="20"/>
                <w:color w:val="auto"/>
              </w:rPr>
              <w:t>Date: March 26, 2026</w:t>
            </w:r>
          </w:p>
        </w:tc>
        <w:tc>
          <w:tcPr>
            <w:tcW w:w="7520" w:type="dxa"/>
            <w:vAlign w:val="bottom"/>
            <w:gridSpan w:val="2"/>
          </w:tcPr>
          <w:p>
            <w:pPr>
              <w:ind w:left="2320"/>
              <w:spacing w:after="0"/>
              <w:rPr>
                <w:sz w:val="20"/>
                <w:szCs w:val="20"/>
                <w:color w:val="auto"/>
              </w:rPr>
            </w:pPr>
            <w:r>
              <w:rPr>
                <w:rFonts w:ascii="Times New Roman" w:cs="Times New Roman" w:eastAsia="Times New Roman" w:hAnsi="Times New Roman"/>
                <w:sz w:val="20"/>
                <w:szCs w:val="20"/>
                <w:color w:val="auto"/>
              </w:rPr>
              <w:t>By: /s/ E. Rand Sutherland</w:t>
            </w:r>
          </w:p>
        </w:tc>
      </w:tr>
      <w:tr>
        <w:trPr>
          <w:trHeight w:val="226"/>
        </w:trPr>
        <w:tc>
          <w:tcPr>
            <w:tcW w:w="29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780" w:type="dxa"/>
            <w:vAlign w:val="bottom"/>
            <w:tcBorders>
              <w:top w:val="single" w:sz="8" w:color="auto"/>
            </w:tcBorders>
          </w:tcPr>
          <w:p>
            <w:pPr>
              <w:spacing w:after="0" w:line="226" w:lineRule="exact"/>
              <w:rPr>
                <w:sz w:val="20"/>
                <w:szCs w:val="20"/>
                <w:color w:val="auto"/>
              </w:rPr>
            </w:pPr>
            <w:r>
              <w:rPr>
                <w:rFonts w:ascii="Times New Roman" w:cs="Times New Roman" w:eastAsia="Times New Roman" w:hAnsi="Times New Roman"/>
                <w:sz w:val="20"/>
                <w:szCs w:val="20"/>
                <w:color w:val="auto"/>
              </w:rPr>
              <w:t>Name: E. Rand Sutherland, M.D.</w:t>
            </w:r>
          </w:p>
        </w:tc>
      </w:tr>
      <w:tr>
        <w:trPr>
          <w:trHeight w:val="267"/>
        </w:trPr>
        <w:tc>
          <w:tcPr>
            <w:tcW w:w="29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Title: Chief Executive Officer</w:t>
            </w:r>
          </w:p>
        </w:tc>
      </w:tr>
      <w:tr>
        <w:trPr>
          <w:trHeight w:val="473"/>
        </w:trPr>
        <w:tc>
          <w:tcPr>
            <w:tcW w:w="2920" w:type="dxa"/>
            <w:vAlign w:val="bottom"/>
          </w:tcPr>
          <w:p>
            <w:pPr>
              <w:spacing w:after="0"/>
              <w:rPr>
                <w:sz w:val="24"/>
                <w:szCs w:val="24"/>
                <w:color w:val="auto"/>
              </w:rPr>
            </w:pPr>
          </w:p>
        </w:tc>
        <w:tc>
          <w:tcPr>
            <w:tcW w:w="7520" w:type="dxa"/>
            <w:vAlign w:val="bottom"/>
            <w:gridSpan w:val="2"/>
          </w:tcPr>
          <w:p>
            <w:pPr>
              <w:ind w:left="1160"/>
              <w:spacing w:after="0"/>
              <w:rPr>
                <w:sz w:val="20"/>
                <w:szCs w:val="20"/>
                <w:color w:val="auto"/>
              </w:rPr>
            </w:pPr>
            <w:r>
              <w:rPr>
                <w:rFonts w:ascii="Times New Roman" w:cs="Times New Roman" w:eastAsia="Times New Roman" w:hAnsi="Times New Roman"/>
                <w:sz w:val="20"/>
                <w:szCs w:val="20"/>
                <w:b w:val="1"/>
                <w:bCs w:val="1"/>
                <w:color w:val="auto"/>
              </w:rPr>
              <w:t>POWER OF ATTORNEY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3591560</wp:posOffset>
                </wp:positionH>
                <wp:positionV relativeFrom="paragraph">
                  <wp:posOffset>-617855</wp:posOffset>
                </wp:positionV>
                <wp:extent cx="3032760"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32760" cy="4763"/>
                        </a:xfrm>
                        <a:prstGeom prst="line">
                          <a:avLst/>
                        </a:prstGeom>
                        <a:solidFill>
                          <a:srgbClr val="FFFFFF"/>
                        </a:solidFill>
                        <a:ln w="9906">
                          <a:solidFill>
                            <a:srgbClr val="FFFFFF"/>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2.8pt,-48.6499pt" to="521.6pt,-48.6499pt" o:allowincell="f" strokecolor="#FFFFFF" strokeweight="0.78pt"/>
            </w:pict>
          </mc:Fallback>
        </mc:AlternateContent>
      </w:r>
    </w:p>
    <w:p>
      <w:pPr>
        <w:spacing w:after="0" w:line="18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Each individual whose signature appears below hereby constitutes and appoints each of E. Rand Sutherland, M.D. and Michael Paul Gray, M.B.A. as such person’s true and lawful attorney-in-fact and agent with full power of substitution and resubstitution, for such person in such person’s name, place and stead, in any and all capacities, to sign any and all amendments to this Annual Report on Form 10-K,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20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in the capacities and on the date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9"/>
                <w:szCs w:val="19"/>
                <w:color w:val="auto"/>
              </w:rPr>
            </w:pPr>
          </w:p>
        </w:tc>
        <w:tc>
          <w:tcPr>
            <w:tcW w:w="3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00" w:type="dxa"/>
            <w:vAlign w:val="bottom"/>
          </w:tcPr>
          <w:p>
            <w:pPr>
              <w:spacing w:after="0"/>
              <w:rPr>
                <w:sz w:val="19"/>
                <w:szCs w:val="19"/>
                <w:color w:val="auto"/>
              </w:rPr>
            </w:pPr>
          </w:p>
        </w:tc>
        <w:tc>
          <w:tcPr>
            <w:tcW w:w="3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476"/>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 Rand Sutherland</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Director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 Rand Sutherland, M.D.</w:t>
            </w:r>
          </w:p>
        </w:tc>
        <w:tc>
          <w:tcPr>
            <w:tcW w:w="100" w:type="dxa"/>
            <w:vAlign w:val="bottom"/>
          </w:tcPr>
          <w:p>
            <w:pPr>
              <w:spacing w:after="0"/>
              <w:rPr>
                <w:sz w:val="22"/>
                <w:szCs w:val="22"/>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Executive Officer</w:t>
            </w:r>
            <w:r>
              <w:rPr>
                <w:rFonts w:ascii="Times New Roman" w:cs="Times New Roman" w:eastAsia="Times New Roman" w:hAnsi="Times New Roman"/>
                <w:sz w:val="20"/>
                <w:szCs w:val="20"/>
                <w:color w:val="auto"/>
              </w:rPr>
              <w:t>)</w:t>
            </w: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45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Michael Paul Gray</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and Operating Officer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191"/>
        </w:trPr>
        <w:tc>
          <w:tcPr>
            <w:tcW w:w="3660" w:type="dxa"/>
            <w:vAlign w:val="bottom"/>
          </w:tcPr>
          <w:p>
            <w:pPr>
              <w:spacing w:after="0" w:line="191" w:lineRule="exact"/>
              <w:rPr>
                <w:sz w:val="20"/>
                <w:szCs w:val="20"/>
                <w:color w:val="auto"/>
              </w:rPr>
            </w:pPr>
            <w:r>
              <w:rPr>
                <w:rFonts w:ascii="Times New Roman" w:cs="Times New Roman" w:eastAsia="Times New Roman" w:hAnsi="Times New Roman"/>
                <w:sz w:val="20"/>
                <w:szCs w:val="20"/>
                <w:color w:val="auto"/>
              </w:rPr>
              <w:t>Michael Paul Gray, M.B.A.</w:t>
            </w:r>
          </w:p>
        </w:tc>
        <w:tc>
          <w:tcPr>
            <w:tcW w:w="100" w:type="dxa"/>
            <w:vAlign w:val="bottom"/>
          </w:tcPr>
          <w:p>
            <w:pPr>
              <w:spacing w:after="0"/>
              <w:rPr>
                <w:sz w:val="16"/>
                <w:szCs w:val="16"/>
                <w:color w:val="auto"/>
              </w:rPr>
            </w:pPr>
          </w:p>
        </w:tc>
        <w:tc>
          <w:tcPr>
            <w:tcW w:w="3340" w:type="dxa"/>
            <w:vAlign w:val="bottom"/>
          </w:tcPr>
          <w:p>
            <w:pPr>
              <w:jc w:val="center"/>
              <w:spacing w:after="0" w:line="191"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Principal Financial Officer and</w:t>
            </w:r>
          </w:p>
        </w:tc>
        <w:tc>
          <w:tcPr>
            <w:tcW w:w="10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67"/>
        </w:trPr>
        <w:tc>
          <w:tcPr>
            <w:tcW w:w="3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9"/>
              </w:rPr>
              <w:t>Principal Accounting Officer</w:t>
            </w:r>
            <w:r>
              <w:rPr>
                <w:rFonts w:ascii="Times New Roman" w:cs="Times New Roman" w:eastAsia="Times New Roman" w:hAnsi="Times New Roman"/>
                <w:sz w:val="20"/>
                <w:szCs w:val="20"/>
                <w:color w:val="auto"/>
                <w:w w:val="99"/>
              </w:rPr>
              <w:t>)</w:t>
            </w:r>
          </w:p>
        </w:tc>
        <w:tc>
          <w:tcPr>
            <w:tcW w:w="10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47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Ronald C. Renaud, Jr.</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 and Chairman</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Ronald C. Renaud, Jr., M.B.A.</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45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Daniella Beckman</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Daniella Beckman</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45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Erez Chimovits</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Erez Chimovits, M.B.A., M.Sc.</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45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 Edward Fleming, Jr.</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H. Edward Fleming, Jr., M.D.</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459"/>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Liam Ratcliffe</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Liam Ratcliffe, M.B.Ch.B., Ph.D., M.B.A.</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r>
        <w:trPr>
          <w:trHeight w:val="458"/>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Marcella Kuhlman Ruddy</w:t>
            </w:r>
          </w:p>
        </w:tc>
        <w:tc>
          <w:tcPr>
            <w:tcW w:w="10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Director</w:t>
            </w:r>
          </w:p>
        </w:tc>
        <w:tc>
          <w:tcPr>
            <w:tcW w:w="100" w:type="dxa"/>
            <w:vAlign w:val="bottom"/>
          </w:tcPr>
          <w:p>
            <w:pPr>
              <w:spacing w:after="0"/>
              <w:rPr>
                <w:sz w:val="24"/>
                <w:szCs w:val="24"/>
                <w:color w:val="auto"/>
              </w:rPr>
            </w:pPr>
          </w:p>
        </w:tc>
        <w:tc>
          <w:tcPr>
            <w:tcW w:w="32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26, 2026</w:t>
            </w:r>
          </w:p>
        </w:tc>
      </w:tr>
      <w:tr>
        <w:trPr>
          <w:trHeight w:val="261"/>
        </w:trPr>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Marcella Kuhlman Ruddy, M.D., M.S.</w:t>
            </w:r>
          </w:p>
        </w:tc>
        <w:tc>
          <w:tcPr>
            <w:tcW w:w="1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126</w:t>
      </w:r>
    </w:p>
    <w:p>
      <w:pPr>
        <w:sectPr>
          <w:pgSz w:w="12240" w:h="15840" w:orient="portrait"/>
          <w:cols w:equalWidth="0" w:num="1">
            <w:col w:w="10440"/>
          </w:cols>
          <w:pgMar w:left="900" w:top="925" w:right="900" w:bottom="175" w:gutter="0" w:footer="0" w:header="0"/>
        </w:sectPr>
      </w:pPr>
    </w:p>
    <w:bookmarkStart w:id="131" w:name="page132"/>
    <w:bookmarkEnd w:id="131"/>
    <w:p>
      <w:pPr>
        <w:ind w:left="26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D248E"/>
        </w:rPr>
        <w:t>Report of Independent Registered Public Accounting Firm (PCAOB ID: 238)</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D248E"/>
        </w:rPr>
        <w:t>Consolidated Balance Sheets as of December 31, 2025 and 2024</w:t>
      </w:r>
    </w:p>
    <w:p>
      <w:pPr>
        <w:spacing w:after="0"/>
        <w:rPr>
          <w:sz w:val="20"/>
          <w:szCs w:val="20"/>
          <w:color w:val="auto"/>
        </w:rPr>
      </w:pPr>
      <w:r>
        <w:rPr>
          <w:rFonts w:ascii="Times New Roman" w:cs="Times New Roman" w:eastAsia="Times New Roman" w:hAnsi="Times New Roman"/>
          <w:sz w:val="20"/>
          <w:szCs w:val="20"/>
          <w:u w:val="single" w:color="auto"/>
          <w:color w:val="0D248E"/>
        </w:rPr>
        <w:t>Consolidated Statements of Operations and Comprehensive Loss for the Years ended December 31, 2025 and 2024 Consolidated Statements of Redeemable Convertible Preferred Stock and Stockholders’ Equity (Deficit) for the Years ended December 31, 2025 and 2024</w:t>
      </w:r>
    </w:p>
    <w:p>
      <w:pPr>
        <w:ind w:right="2240"/>
        <w:spacing w:after="0" w:line="248" w:lineRule="auto"/>
        <w:rPr>
          <w:sz w:val="20"/>
          <w:szCs w:val="20"/>
          <w:color w:val="auto"/>
        </w:rPr>
      </w:pPr>
      <w:r>
        <w:rPr>
          <w:rFonts w:ascii="Times New Roman" w:cs="Times New Roman" w:eastAsia="Times New Roman" w:hAnsi="Times New Roman"/>
          <w:sz w:val="20"/>
          <w:szCs w:val="20"/>
          <w:u w:val="single" w:color="auto"/>
          <w:color w:val="0D248E"/>
        </w:rPr>
        <w:t>Consolidated Statements of Cash Flows for the Years ended December 31, 2025 and 2024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20"/>
          <w:szCs w:val="20"/>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F-2</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F-3</w:t>
      </w:r>
    </w:p>
    <w:p>
      <w:pPr>
        <w:spacing w:after="0"/>
        <w:rPr>
          <w:sz w:val="20"/>
          <w:szCs w:val="20"/>
          <w:color w:val="auto"/>
        </w:rPr>
      </w:pPr>
      <w:r>
        <w:rPr>
          <w:rFonts w:ascii="Times New Roman" w:cs="Times New Roman" w:eastAsia="Times New Roman" w:hAnsi="Times New Roman"/>
          <w:sz w:val="20"/>
          <w:szCs w:val="20"/>
          <w:color w:val="auto"/>
        </w:rPr>
        <w:t>F-4</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2">
            <w:col w:w="9460" w:space="700"/>
            <w:col w:w="280"/>
          </w:cols>
          <w:pgMar w:left="900" w:top="925" w:right="900" w:bottom="175" w:gutter="0" w:footer="0" w:header="0"/>
        </w:sectPr>
      </w:pPr>
    </w:p>
    <w:bookmarkStart w:id="132" w:name="page133"/>
    <w:bookmarkEnd w:id="132"/>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Georgia" w:cs="Georgia" w:eastAsia="Georgia" w:hAnsi="Georgia"/>
          <w:sz w:val="20"/>
          <w:szCs w:val="20"/>
          <w:color w:val="auto"/>
        </w:rPr>
        <w:t>To the Board of Directors and Stockholders of Upstream Bio, Inc.</w:t>
      </w:r>
    </w:p>
    <w:p>
      <w:pPr>
        <w:spacing w:after="0" w:line="192"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Opinion on the Financial Statements</w:t>
      </w:r>
    </w:p>
    <w:p>
      <w:pPr>
        <w:spacing w:after="0" w:line="207" w:lineRule="exact"/>
        <w:rPr>
          <w:sz w:val="20"/>
          <w:szCs w:val="20"/>
          <w:color w:val="auto"/>
        </w:rPr>
      </w:pPr>
    </w:p>
    <w:p>
      <w:pPr>
        <w:spacing w:after="0" w:line="244" w:lineRule="auto"/>
        <w:rPr>
          <w:sz w:val="20"/>
          <w:szCs w:val="20"/>
          <w:color w:val="auto"/>
        </w:rPr>
      </w:pPr>
      <w:r>
        <w:rPr>
          <w:rFonts w:ascii="Georgia" w:cs="Georgia" w:eastAsia="Georgia" w:hAnsi="Georgia"/>
          <w:sz w:val="20"/>
          <w:szCs w:val="20"/>
          <w:color w:val="auto"/>
        </w:rPr>
        <w:t>We have audited the accompanying consolidated balance sheets of Upstream Bio, Inc. and its subsidiary (the "Company") as of December 31,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Basis for Opinion</w:t>
      </w:r>
    </w:p>
    <w:p>
      <w:pPr>
        <w:spacing w:after="0" w:line="208" w:lineRule="exact"/>
        <w:rPr>
          <w:sz w:val="20"/>
          <w:szCs w:val="20"/>
          <w:color w:val="auto"/>
        </w:rPr>
      </w:pPr>
    </w:p>
    <w:p>
      <w:pPr>
        <w:spacing w:after="0" w:line="246" w:lineRule="auto"/>
        <w:rPr>
          <w:sz w:val="20"/>
          <w:szCs w:val="20"/>
          <w:color w:val="auto"/>
        </w:rPr>
      </w:pPr>
      <w:r>
        <w:rPr>
          <w:rFonts w:ascii="Georgia" w:cs="Georgia" w:eastAsia="Georgia" w:hAnsi="Georgia"/>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44" w:lineRule="auto"/>
        <w:rPr>
          <w:sz w:val="20"/>
          <w:szCs w:val="20"/>
          <w:color w:val="auto"/>
        </w:rPr>
      </w:pPr>
      <w:r>
        <w:rPr>
          <w:rFonts w:ascii="Georgia" w:cs="Georgia" w:eastAsia="Georgia" w:hAnsi="Georgia"/>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ind w:right="80"/>
        <w:spacing w:after="0" w:line="244" w:lineRule="auto"/>
        <w:rPr>
          <w:sz w:val="20"/>
          <w:szCs w:val="20"/>
          <w:color w:val="auto"/>
        </w:rPr>
      </w:pPr>
      <w:r>
        <w:rPr>
          <w:rFonts w:ascii="Georgia" w:cs="Georgia" w:eastAsia="Georgia" w:hAnsi="Georgia"/>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line="6" w:lineRule="exact"/>
        <w:rPr>
          <w:sz w:val="20"/>
          <w:szCs w:val="20"/>
          <w:color w:val="auto"/>
        </w:rPr>
      </w:pPr>
    </w:p>
    <w:p>
      <w:pPr>
        <w:spacing w:after="0"/>
        <w:rPr>
          <w:sz w:val="20"/>
          <w:szCs w:val="20"/>
          <w:color w:val="auto"/>
        </w:rPr>
      </w:pPr>
      <w:r>
        <w:rPr>
          <w:rFonts w:ascii="Georgia" w:cs="Georgia" w:eastAsia="Georgia" w:hAnsi="Georgia"/>
          <w:sz w:val="20"/>
          <w:szCs w:val="20"/>
          <w:color w:val="auto"/>
        </w:rPr>
        <w:t>Boston, Massachusetts</w:t>
      </w:r>
    </w:p>
    <w:p>
      <w:pPr>
        <w:spacing w:after="0"/>
        <w:rPr>
          <w:sz w:val="20"/>
          <w:szCs w:val="20"/>
          <w:color w:val="auto"/>
        </w:rPr>
      </w:pPr>
      <w:r>
        <w:rPr>
          <w:rFonts w:ascii="Georgia" w:cs="Georgia" w:eastAsia="Georgia" w:hAnsi="Georgia"/>
          <w:sz w:val="20"/>
          <w:szCs w:val="20"/>
          <w:color w:val="auto"/>
        </w:rPr>
        <w:t>March 26, 2026</w:t>
      </w:r>
    </w:p>
    <w:p>
      <w:pPr>
        <w:spacing w:after="0" w:line="154" w:lineRule="exact"/>
        <w:rPr>
          <w:sz w:val="20"/>
          <w:szCs w:val="20"/>
          <w:color w:val="auto"/>
        </w:rPr>
      </w:pPr>
    </w:p>
    <w:p>
      <w:pPr>
        <w:spacing w:after="0"/>
        <w:rPr>
          <w:sz w:val="20"/>
          <w:szCs w:val="20"/>
          <w:color w:val="auto"/>
        </w:rPr>
      </w:pPr>
      <w:r>
        <w:rPr>
          <w:rFonts w:ascii="Georgia" w:cs="Georgia" w:eastAsia="Georgia" w:hAnsi="Georgia"/>
          <w:sz w:val="20"/>
          <w:szCs w:val="20"/>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10340"/>
          </w:cols>
          <w:pgMar w:left="900" w:top="925" w:right="1000" w:bottom="175"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and per share amounts)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9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28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6990" w:type="dxa"/>
            <w:vAlign w:val="bottom"/>
            <w:tcBorders>
              <w:bottom w:val="single" w:sz="8" w:color="D4EFF4"/>
            </w:tcBorders>
          </w:tcPr>
          <w:p>
            <w:pPr>
              <w:spacing w:after="0"/>
              <w:rPr>
                <w:sz w:val="17"/>
                <w:szCs w:val="17"/>
                <w:color w:val="auto"/>
              </w:rPr>
            </w:pPr>
          </w:p>
        </w:tc>
        <w:tc>
          <w:tcPr>
            <w:tcW w:w="15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9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Assets</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6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3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101,578</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325,892</w:t>
            </w: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239,931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Accounts receivable</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668</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613</w:t>
            </w: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9,620</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8,096</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15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351,797</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479,160</w:t>
            </w:r>
          </w:p>
        </w:tc>
        <w:tc>
          <w:tcPr>
            <w:tcW w:w="12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559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1,222</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1,783</w:t>
            </w: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194</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9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15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460" w:type="dxa"/>
            <w:vAlign w:val="bottom"/>
            <w:tcBorders>
              <w:bottom w:val="single" w:sz="8" w:color="auto"/>
            </w:tcBorders>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353,772</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481,719</w:t>
            </w:r>
          </w:p>
        </w:tc>
        <w:tc>
          <w:tcPr>
            <w:tcW w:w="120" w:type="dxa"/>
            <w:vAlign w:val="bottom"/>
            <w:tcBorders>
              <w:bottom w:val="single" w:sz="8" w:color="auto"/>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9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5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990" w:type="dxa"/>
            <w:vAlign w:val="bottom"/>
            <w:vMerge w:val="continue"/>
          </w:tcPr>
          <w:p>
            <w:pPr>
              <w:spacing w:after="0"/>
              <w:rPr>
                <w:sz w:val="19"/>
                <w:szCs w:val="19"/>
                <w:color w:val="auto"/>
              </w:rPr>
            </w:pP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9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2,726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10,006</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5,992</w:t>
            </w: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 portion</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720</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704</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5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13,452</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10,737</w:t>
            </w:r>
          </w:p>
        </w:tc>
        <w:tc>
          <w:tcPr>
            <w:tcW w:w="12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549</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1,130</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9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15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460" w:type="dxa"/>
            <w:vAlign w:val="bottom"/>
            <w:tcBorders>
              <w:bottom w:val="single" w:sz="8" w:color="auto"/>
            </w:tcBorders>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14,001</w:t>
            </w: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3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11,867</w:t>
            </w:r>
          </w:p>
        </w:tc>
        <w:tc>
          <w:tcPr>
            <w:tcW w:w="120" w:type="dxa"/>
            <w:vAlign w:val="bottom"/>
            <w:tcBorders>
              <w:bottom w:val="single" w:sz="8" w:color="auto"/>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13)</w:t>
            </w: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99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9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Preferred stock, $0.001 par value; 10,000,000 shares authorized at</w:t>
            </w:r>
          </w:p>
        </w:tc>
        <w:tc>
          <w:tcPr>
            <w:tcW w:w="15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9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31, 2025 and December 31, 2024; no shares issued and</w:t>
            </w:r>
          </w:p>
        </w:tc>
        <w:tc>
          <w:tcPr>
            <w:tcW w:w="15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9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outstanding at December 31, 2025 and December 31, 2024</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4"/>
        </w:trPr>
        <w:tc>
          <w:tcPr>
            <w:tcW w:w="699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Common stock, $0.001 par value; 500,000,000 shares authorized at</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6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3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90" w:type="dxa"/>
            <w:vAlign w:val="bottom"/>
            <w:shd w:val="clear" w:color="auto" w:fill="D4EFF4"/>
          </w:tcPr>
          <w:p>
            <w:pPr>
              <w:ind w:left="360"/>
              <w:spacing w:after="0"/>
              <w:rPr>
                <w:sz w:val="20"/>
                <w:szCs w:val="20"/>
                <w:color w:val="auto"/>
              </w:rPr>
            </w:pPr>
            <w:r>
              <w:rPr>
                <w:rFonts w:ascii="Times New Roman" w:cs="Times New Roman" w:eastAsia="Times New Roman" w:hAnsi="Times New Roman"/>
                <w:sz w:val="20"/>
                <w:szCs w:val="20"/>
                <w:color w:val="auto"/>
              </w:rPr>
              <w:t>December 31, 2025 and December 31, 2024; 54,237,750 and</w:t>
            </w:r>
          </w:p>
        </w:tc>
        <w:tc>
          <w:tcPr>
            <w:tcW w:w="15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46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34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90" w:type="dxa"/>
            <w:vAlign w:val="bottom"/>
            <w:shd w:val="clear" w:color="auto" w:fill="D4EFF4"/>
          </w:tcPr>
          <w:p>
            <w:pPr>
              <w:ind w:left="360"/>
              <w:spacing w:after="0"/>
              <w:rPr>
                <w:sz w:val="20"/>
                <w:szCs w:val="20"/>
                <w:color w:val="auto"/>
              </w:rPr>
            </w:pPr>
            <w:r>
              <w:rPr>
                <w:rFonts w:ascii="Times New Roman" w:cs="Times New Roman" w:eastAsia="Times New Roman" w:hAnsi="Times New Roman"/>
                <w:sz w:val="20"/>
                <w:szCs w:val="20"/>
                <w:color w:val="auto"/>
              </w:rPr>
              <w:t>53,603,398 shares issued and outstanding at December 31, 2025 and</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90" w:type="dxa"/>
            <w:vAlign w:val="bottom"/>
            <w:shd w:val="clear" w:color="auto" w:fill="D4EFF4"/>
          </w:tcPr>
          <w:p>
            <w:pPr>
              <w:ind w:left="360"/>
              <w:spacing w:after="0"/>
              <w:rPr>
                <w:sz w:val="20"/>
                <w:szCs w:val="20"/>
                <w:color w:val="auto"/>
              </w:rPr>
            </w:pPr>
            <w:r>
              <w:rPr>
                <w:rFonts w:ascii="Times New Roman" w:cs="Times New Roman" w:eastAsia="Times New Roman" w:hAnsi="Times New Roman"/>
                <w:sz w:val="20"/>
                <w:szCs w:val="20"/>
                <w:color w:val="auto"/>
              </w:rPr>
              <w:t>December 31, 2024, respectively</w:t>
            </w:r>
          </w:p>
        </w:tc>
        <w:tc>
          <w:tcPr>
            <w:tcW w:w="15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54</w:t>
            </w: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9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5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673,410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660,604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 (loss)</w:t>
            </w:r>
          </w:p>
        </w:tc>
        <w:tc>
          <w:tcPr>
            <w:tcW w:w="15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460" w:type="dxa"/>
            <w:vAlign w:val="bottom"/>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530</w:t>
            </w: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3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44"/>
        </w:trPr>
        <w:tc>
          <w:tcPr>
            <w:tcW w:w="699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(334,223 )</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(190,780 )</w:t>
            </w:r>
          </w:p>
        </w:tc>
        <w:tc>
          <w:tcPr>
            <w:tcW w:w="0" w:type="dxa"/>
            <w:vAlign w:val="bottom"/>
          </w:tcPr>
          <w:p>
            <w:pPr>
              <w:spacing w:after="0"/>
              <w:rPr>
                <w:sz w:val="1"/>
                <w:szCs w:val="1"/>
                <w:color w:val="auto"/>
              </w:rPr>
            </w:pPr>
          </w:p>
        </w:tc>
      </w:tr>
      <w:tr>
        <w:trPr>
          <w:trHeight w:val="254"/>
        </w:trPr>
        <w:tc>
          <w:tcPr>
            <w:tcW w:w="6990" w:type="dxa"/>
            <w:vAlign w:val="bottom"/>
            <w:tcBorders>
              <w:bottom w:val="single" w:sz="8" w:color="D4EFF4"/>
            </w:tcBorders>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15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spacing w:after="0"/>
              <w:rPr>
                <w:sz w:val="22"/>
                <w:szCs w:val="22"/>
                <w:color w:val="auto"/>
              </w:rPr>
            </w:pPr>
          </w:p>
        </w:tc>
        <w:tc>
          <w:tcPr>
            <w:tcW w:w="1460" w:type="dxa"/>
            <w:vAlign w:val="bottom"/>
            <w:tcBorders>
              <w:bottom w:val="single" w:sz="8" w:color="auto"/>
            </w:tcBorders>
            <w:shd w:val="clear" w:color="auto" w:fill="D4EFF4"/>
          </w:tcPr>
          <w:p>
            <w:pPr>
              <w:jc w:val="right"/>
              <w:ind w:right="21"/>
              <w:spacing w:after="0"/>
              <w:rPr>
                <w:sz w:val="20"/>
                <w:szCs w:val="20"/>
                <w:color w:val="auto"/>
              </w:rPr>
            </w:pPr>
            <w:r>
              <w:rPr>
                <w:rFonts w:ascii="Times New Roman" w:cs="Times New Roman" w:eastAsia="Times New Roman" w:hAnsi="Times New Roman"/>
                <w:sz w:val="20"/>
                <w:szCs w:val="20"/>
                <w:color w:val="auto"/>
              </w:rPr>
              <w:t>339,771</w:t>
            </w:r>
          </w:p>
        </w:tc>
        <w:tc>
          <w:tcPr>
            <w:tcW w:w="14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auto"/>
            </w:tcBorders>
            <w:shd w:val="clear" w:color="auto" w:fill="D4EFF4"/>
          </w:tcPr>
          <w:p>
            <w:pPr>
              <w:spacing w:after="0"/>
              <w:rPr>
                <w:sz w:val="22"/>
                <w:szCs w:val="22"/>
                <w:color w:val="auto"/>
              </w:rPr>
            </w:pPr>
          </w:p>
        </w:tc>
        <w:tc>
          <w:tcPr>
            <w:tcW w:w="13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469,852</w:t>
            </w:r>
          </w:p>
        </w:tc>
        <w:tc>
          <w:tcPr>
            <w:tcW w:w="120" w:type="dxa"/>
            <w:vAlign w:val="bottom"/>
            <w:tcBorders>
              <w:bottom w:val="single" w:sz="8" w:color="auto"/>
            </w:tcBorders>
            <w:shd w:val="clear" w:color="auto" w:fill="D4EFF4"/>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990" w:type="dxa"/>
            <w:vAlign w:val="bottom"/>
          </w:tcPr>
          <w:p>
            <w:pPr>
              <w:ind w:left="400"/>
              <w:spacing w:after="0" w:line="215"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170" w:type="dxa"/>
            <w:vAlign w:val="bottom"/>
            <w:gridSpan w:val="2"/>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Pr>
          <w:p>
            <w:pPr>
              <w:jc w:val="right"/>
              <w:ind w:right="21"/>
              <w:spacing w:after="0" w:line="215" w:lineRule="exact"/>
              <w:rPr>
                <w:sz w:val="20"/>
                <w:szCs w:val="20"/>
                <w:color w:val="auto"/>
              </w:rPr>
            </w:pPr>
            <w:r>
              <w:rPr>
                <w:rFonts w:ascii="Times New Roman" w:cs="Times New Roman" w:eastAsia="Times New Roman" w:hAnsi="Times New Roman"/>
                <w:sz w:val="20"/>
                <w:szCs w:val="20"/>
                <w:color w:val="auto"/>
              </w:rPr>
              <w:t>353,772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481,719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-4699635</wp:posOffset>
                </wp:positionV>
                <wp:extent cx="66198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70.0499pt" to="521.6pt,-370.0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-3764280</wp:posOffset>
                </wp:positionV>
                <wp:extent cx="66198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96.3999pt" to="521.6pt,-296.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-3109595</wp:posOffset>
                </wp:positionV>
                <wp:extent cx="66198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44.8499pt" to="521.6pt,-244.8499pt" o:allowincell="f" strokecolor="#FFFFFF" strokeweight="0.72pt"/>
            </w:pict>
          </mc:Fallback>
        </mc:AlternateConten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10440"/>
          </w:cols>
          <w:pgMar w:left="900" w:top="1045" w:right="900" w:bottom="175"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2" w:lineRule="exact"/>
        <w:rPr>
          <w:sz w:val="20"/>
          <w:szCs w:val="20"/>
          <w:color w:val="auto"/>
        </w:rPr>
      </w:pPr>
    </w:p>
    <w:p>
      <w:pPr>
        <w:jc w:val="both"/>
        <w:ind w:left="2620" w:right="2560" w:hanging="45"/>
        <w:spacing w:after="0" w:line="279" w:lineRule="auto"/>
        <w:rPr>
          <w:sz w:val="20"/>
          <w:szCs w:val="20"/>
          <w:color w:val="auto"/>
        </w:rPr>
      </w:pPr>
      <w:r>
        <w:rPr>
          <w:rFonts w:ascii="Times New Roman" w:cs="Times New Roman" w:eastAsia="Times New Roman" w:hAnsi="Times New Roman"/>
          <w:sz w:val="19"/>
          <w:szCs w:val="19"/>
          <w:b w:val="1"/>
          <w:bCs w:val="1"/>
          <w:color w:val="auto"/>
        </w:rPr>
        <w:t>Consolidated statements of operations and comprehensive loss (Amounts in thousands, except share and per share amounts)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88"/>
        </w:trPr>
        <w:tc>
          <w:tcPr>
            <w:tcW w:w="6380" w:type="dxa"/>
            <w:vAlign w:val="bottom"/>
            <w:tcBorders>
              <w:bottom w:val="single" w:sz="8" w:color="D4EFF4"/>
            </w:tcBorders>
          </w:tcPr>
          <w:p>
            <w:pPr>
              <w:spacing w:after="0"/>
              <w:rPr>
                <w:sz w:val="16"/>
                <w:szCs w:val="16"/>
                <w:color w:val="auto"/>
              </w:rPr>
            </w:pPr>
          </w:p>
        </w:tc>
        <w:tc>
          <w:tcPr>
            <w:tcW w:w="104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3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Collaboration revenue</w:t>
            </w:r>
          </w:p>
        </w:tc>
        <w:tc>
          <w:tcPr>
            <w:tcW w:w="10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2,854</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120" w:type="dxa"/>
            <w:vAlign w:val="bottom"/>
            <w:gridSpan w:val="2"/>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122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2,370</w:t>
            </w: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8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136,806</w:t>
            </w:r>
          </w:p>
        </w:tc>
        <w:tc>
          <w:tcPr>
            <w:tcW w:w="10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62,966</w:t>
            </w:r>
          </w:p>
        </w:tc>
        <w:tc>
          <w:tcPr>
            <w:tcW w:w="10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0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26,409</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17,168</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38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10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163,215</w:t>
            </w:r>
          </w:p>
        </w:tc>
        <w:tc>
          <w:tcPr>
            <w:tcW w:w="100" w:type="dxa"/>
            <w:vAlign w:val="bottom"/>
            <w:tcBorders>
              <w:bottom w:val="single" w:sz="8" w:color="auto"/>
            </w:tcBorders>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80,134</w:t>
            </w:r>
          </w:p>
        </w:tc>
        <w:tc>
          <w:tcPr>
            <w:tcW w:w="100" w:type="dxa"/>
            <w:vAlign w:val="bottom"/>
            <w:tcBorders>
              <w:bottom w:val="single" w:sz="8" w:color="auto"/>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3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0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(160,361 )</w:t>
            </w:r>
          </w:p>
        </w:tc>
        <w:tc>
          <w:tcPr>
            <w:tcW w:w="1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(77,764 )</w:t>
            </w:r>
          </w:p>
        </w:tc>
        <w:tc>
          <w:tcPr>
            <w:tcW w:w="0" w:type="dxa"/>
            <w:vAlign w:val="bottom"/>
          </w:tcPr>
          <w:p>
            <w:pPr>
              <w:spacing w:after="0"/>
              <w:rPr>
                <w:sz w:val="1"/>
                <w:szCs w:val="1"/>
                <w:color w:val="auto"/>
              </w:rPr>
            </w:pPr>
          </w:p>
        </w:tc>
      </w:tr>
      <w:tr>
        <w:trPr>
          <w:trHeight w:val="234"/>
        </w:trPr>
        <w:tc>
          <w:tcPr>
            <w:tcW w:w="63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Other income (expense):</w:t>
            </w:r>
          </w:p>
        </w:tc>
        <w:tc>
          <w:tcPr>
            <w:tcW w:w="10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20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2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38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Change in fair value of preferred stock tranche right</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liability</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8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10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16,933</w:t>
            </w:r>
          </w:p>
        </w:tc>
        <w:tc>
          <w:tcPr>
            <w:tcW w:w="100" w:type="dxa"/>
            <w:vAlign w:val="bottom"/>
            <w:shd w:val="clear" w:color="auto" w:fill="D4EFF4"/>
          </w:tcPr>
          <w:p>
            <w:pPr>
              <w:spacing w:after="0"/>
              <w:rPr>
                <w:sz w:val="21"/>
                <w:szCs w:val="21"/>
                <w:color w:val="auto"/>
              </w:rPr>
            </w:pPr>
          </w:p>
        </w:tc>
        <w:tc>
          <w:tcPr>
            <w:tcW w:w="1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12,123</w:t>
            </w:r>
          </w:p>
        </w:tc>
        <w:tc>
          <w:tcPr>
            <w:tcW w:w="10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8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Other expense, net</w:t>
            </w:r>
          </w:p>
        </w:tc>
        <w:tc>
          <w:tcPr>
            <w:tcW w:w="10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(15 )</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(24 )</w:t>
            </w:r>
          </w:p>
        </w:tc>
        <w:tc>
          <w:tcPr>
            <w:tcW w:w="0" w:type="dxa"/>
            <w:vAlign w:val="bottom"/>
          </w:tcPr>
          <w:p>
            <w:pPr>
              <w:spacing w:after="0"/>
              <w:rPr>
                <w:sz w:val="1"/>
                <w:szCs w:val="1"/>
                <w:color w:val="auto"/>
              </w:rPr>
            </w:pPr>
          </w:p>
        </w:tc>
      </w:tr>
      <w:tr>
        <w:trPr>
          <w:trHeight w:val="233"/>
        </w:trPr>
        <w:tc>
          <w:tcPr>
            <w:tcW w:w="638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other income, net</w:t>
            </w:r>
          </w:p>
        </w:tc>
        <w:tc>
          <w:tcPr>
            <w:tcW w:w="10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16,918</w:t>
            </w:r>
          </w:p>
        </w:tc>
        <w:tc>
          <w:tcPr>
            <w:tcW w:w="100" w:type="dxa"/>
            <w:vAlign w:val="bottom"/>
            <w:tcBorders>
              <w:bottom w:val="single" w:sz="8" w:color="auto"/>
            </w:tcBorders>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14,958</w:t>
            </w:r>
          </w:p>
        </w:tc>
        <w:tc>
          <w:tcPr>
            <w:tcW w:w="100" w:type="dxa"/>
            <w:vAlign w:val="bottom"/>
            <w:tcBorders>
              <w:bottom w:val="single" w:sz="8" w:color="auto"/>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638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Net loss</w:t>
            </w:r>
          </w:p>
        </w:tc>
        <w:tc>
          <w:tcPr>
            <w:tcW w:w="1060" w:type="dxa"/>
            <w:vAlign w:val="bottom"/>
            <w:tcBorders>
              <w:bottom w:val="single" w:sz="8" w:color="D4EFF4"/>
            </w:tcBorders>
            <w:gridSpan w:val="2"/>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(143,443 )</w:t>
            </w:r>
          </w:p>
        </w:tc>
        <w:tc>
          <w:tcPr>
            <w:tcW w:w="160" w:type="dxa"/>
            <w:vAlign w:val="bottom"/>
            <w:tcBorders>
              <w:bottom w:val="single" w:sz="8" w:color="D4EFF4"/>
            </w:tcBorders>
            <w:gridSpan w:val="2"/>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(62,806 )</w:t>
            </w:r>
          </w:p>
        </w:tc>
        <w:tc>
          <w:tcPr>
            <w:tcW w:w="0" w:type="dxa"/>
            <w:vAlign w:val="bottom"/>
          </w:tcPr>
          <w:p>
            <w:pPr>
              <w:spacing w:after="0"/>
              <w:rPr>
                <w:sz w:val="1"/>
                <w:szCs w:val="1"/>
                <w:color w:val="auto"/>
              </w:rPr>
            </w:pPr>
          </w:p>
        </w:tc>
      </w:tr>
      <w:tr>
        <w:trPr>
          <w:trHeight w:val="229"/>
        </w:trPr>
        <w:tc>
          <w:tcPr>
            <w:tcW w:w="638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Redeemable convertible preferred stock</w:t>
            </w:r>
          </w:p>
        </w:tc>
        <w:tc>
          <w:tcPr>
            <w:tcW w:w="10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6380" w:type="dxa"/>
            <w:vAlign w:val="bottom"/>
            <w:tcBorders>
              <w:bottom w:val="single" w:sz="8" w:color="D4EFF4"/>
            </w:tcBorders>
            <w:shd w:val="clear" w:color="auto" w:fill="D4EFF4"/>
          </w:tcPr>
          <w:p>
            <w:pPr>
              <w:ind w:left="360"/>
              <w:spacing w:after="0"/>
              <w:rPr>
                <w:sz w:val="20"/>
                <w:szCs w:val="20"/>
                <w:color w:val="auto"/>
              </w:rPr>
            </w:pPr>
            <w:r>
              <w:rPr>
                <w:rFonts w:ascii="Times New Roman" w:cs="Times New Roman" w:eastAsia="Times New Roman" w:hAnsi="Times New Roman"/>
                <w:sz w:val="20"/>
                <w:szCs w:val="20"/>
                <w:color w:val="auto"/>
              </w:rPr>
              <w:t>cumulative dividends</w:t>
            </w:r>
          </w:p>
        </w:tc>
        <w:tc>
          <w:tcPr>
            <w:tcW w:w="104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D4EFF4"/>
          </w:tcPr>
          <w:p>
            <w:pPr>
              <w:spacing w:after="0"/>
              <w:rPr>
                <w:sz w:val="21"/>
                <w:szCs w:val="21"/>
                <w:color w:val="auto"/>
              </w:rPr>
            </w:pPr>
          </w:p>
        </w:tc>
        <w:tc>
          <w:tcPr>
            <w:tcW w:w="14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(13,589</w:t>
            </w: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54"/>
        </w:trPr>
        <w:tc>
          <w:tcPr>
            <w:tcW w:w="6380" w:type="dxa"/>
            <w:vAlign w:val="bottom"/>
            <w:tcBorders>
              <w:bottom w:val="single" w:sz="8" w:color="D4EFF4"/>
            </w:tcBorders>
          </w:tcPr>
          <w:p>
            <w:pPr>
              <w:spacing w:after="0" w:line="214" w:lineRule="exact"/>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1060" w:type="dxa"/>
            <w:vAlign w:val="bottom"/>
            <w:tcBorders>
              <w:bottom w:val="single" w:sz="8" w:color="D4EFF4"/>
            </w:tcBorders>
            <w:gridSpan w:val="2"/>
          </w:tcPr>
          <w:p>
            <w:pPr>
              <w:spacing w:after="0"/>
              <w:rPr>
                <w:sz w:val="22"/>
                <w:szCs w:val="22"/>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(143,443 )</w:t>
            </w:r>
          </w:p>
        </w:tc>
        <w:tc>
          <w:tcPr>
            <w:tcW w:w="160" w:type="dxa"/>
            <w:vAlign w:val="bottom"/>
            <w:tcBorders>
              <w:bottom w:val="single" w:sz="8" w:color="D4EFF4"/>
            </w:tcBorders>
            <w:gridSpan w:val="2"/>
          </w:tcPr>
          <w:p>
            <w:pPr>
              <w:spacing w:after="0"/>
              <w:rPr>
                <w:sz w:val="22"/>
                <w:szCs w:val="22"/>
                <w:color w:val="auto"/>
              </w:rPr>
            </w:pPr>
          </w:p>
        </w:tc>
        <w:tc>
          <w:tcPr>
            <w:tcW w:w="1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(76,395 )</w:t>
            </w:r>
          </w:p>
        </w:tc>
        <w:tc>
          <w:tcPr>
            <w:tcW w:w="0" w:type="dxa"/>
            <w:vAlign w:val="bottom"/>
          </w:tcPr>
          <w:p>
            <w:pPr>
              <w:spacing w:after="0"/>
              <w:rPr>
                <w:sz w:val="1"/>
                <w:szCs w:val="1"/>
                <w:color w:val="auto"/>
              </w:rPr>
            </w:pPr>
          </w:p>
        </w:tc>
      </w:tr>
      <w:tr>
        <w:trPr>
          <w:trHeight w:val="229"/>
        </w:trPr>
        <w:tc>
          <w:tcPr>
            <w:tcW w:w="638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Net loss per share attributable to common stockholders,</w:t>
            </w:r>
          </w:p>
        </w:tc>
        <w:tc>
          <w:tcPr>
            <w:tcW w:w="10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D4EFF4"/>
          </w:tcPr>
          <w:p>
            <w:pPr>
              <w:ind w:left="160"/>
              <w:spacing w:after="0"/>
              <w:rPr>
                <w:sz w:val="20"/>
                <w:szCs w:val="20"/>
                <w:color w:val="auto"/>
              </w:rPr>
            </w:pPr>
            <w:r>
              <w:rPr>
                <w:rFonts w:ascii="Times New Roman" w:cs="Times New Roman" w:eastAsia="Times New Roman" w:hAnsi="Times New Roman"/>
                <w:sz w:val="20"/>
                <w:szCs w:val="20"/>
                <w:color w:val="auto"/>
              </w:rPr>
              <w:t>basic and diluted</w:t>
            </w:r>
          </w:p>
        </w:tc>
        <w:tc>
          <w:tcPr>
            <w:tcW w:w="10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40" w:type="dxa"/>
            <w:vAlign w:val="bottom"/>
            <w:shd w:val="clear" w:color="auto" w:fill="D4EFF4"/>
          </w:tcPr>
          <w:p>
            <w:pPr>
              <w:spacing w:after="0"/>
              <w:rPr>
                <w:sz w:val="21"/>
                <w:szCs w:val="21"/>
                <w:color w:val="auto"/>
              </w:rPr>
            </w:pPr>
          </w:p>
        </w:tc>
        <w:tc>
          <w:tcPr>
            <w:tcW w:w="12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0"/>
        </w:trPr>
        <w:tc>
          <w:tcPr>
            <w:tcW w:w="6380" w:type="dxa"/>
            <w:vAlign w:val="bottom"/>
            <w:tcBorders>
              <w:top w:val="single" w:sz="8" w:color="D4EFF4"/>
              <w:bottom w:val="single" w:sz="8" w:color="D4EFF4"/>
            </w:tcBorders>
            <w:vMerge w:val="restart"/>
          </w:tcPr>
          <w:p>
            <w:pPr>
              <w:spacing w:after="0" w:line="229" w:lineRule="exact"/>
              <w:rPr>
                <w:sz w:val="20"/>
                <w:szCs w:val="20"/>
                <w:color w:val="auto"/>
              </w:rPr>
            </w:pPr>
            <w:r>
              <w:rPr>
                <w:rFonts w:ascii="Times New Roman" w:cs="Times New Roman" w:eastAsia="Times New Roman" w:hAnsi="Times New Roman"/>
                <w:sz w:val="20"/>
                <w:szCs w:val="20"/>
                <w:color w:val="auto"/>
              </w:rPr>
              <w:t>Weighted-average common shares outstanding, basic</w:t>
            </w:r>
          </w:p>
        </w:tc>
        <w:tc>
          <w:tcPr>
            <w:tcW w:w="104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D4EFF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4EFF4"/>
            </w:tcBorders>
          </w:tcPr>
          <w:p>
            <w:pPr>
              <w:spacing w:after="0" w:line="20" w:lineRule="exact"/>
              <w:rPr>
                <w:sz w:val="1"/>
                <w:szCs w:val="1"/>
                <w:color w:val="auto"/>
              </w:rPr>
            </w:pPr>
          </w:p>
        </w:tc>
        <w:tc>
          <w:tcPr>
            <w:tcW w:w="20" w:type="dxa"/>
            <w:vAlign w:val="bottom"/>
            <w:tcBorders>
              <w:top w:val="single" w:sz="8" w:color="D4EFF4"/>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6380" w:type="dxa"/>
            <w:vAlign w:val="bottom"/>
            <w:tcBorders>
              <w:bottom w:val="single" w:sz="8" w:color="D4EFF4"/>
            </w:tcBorders>
          </w:tcPr>
          <w:p>
            <w:pPr>
              <w:ind w:left="160"/>
              <w:spacing w:after="0"/>
              <w:rPr>
                <w:sz w:val="20"/>
                <w:szCs w:val="20"/>
                <w:color w:val="auto"/>
              </w:rPr>
            </w:pPr>
            <w:r>
              <w:rPr>
                <w:rFonts w:ascii="Times New Roman" w:cs="Times New Roman" w:eastAsia="Times New Roman" w:hAnsi="Times New Roman"/>
                <w:sz w:val="20"/>
                <w:szCs w:val="20"/>
                <w:color w:val="auto"/>
              </w:rPr>
              <w:t>and diluted</w:t>
            </w:r>
          </w:p>
        </w:tc>
        <w:tc>
          <w:tcPr>
            <w:tcW w:w="104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53,852,752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13,682,326</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8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10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(143,443</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40" w:type="dxa"/>
            <w:vAlign w:val="bottom"/>
            <w:shd w:val="clear" w:color="auto" w:fill="D4EFF4"/>
          </w:tcPr>
          <w:p>
            <w:pPr>
              <w:spacing w:after="0"/>
              <w:rPr>
                <w:sz w:val="21"/>
                <w:szCs w:val="21"/>
                <w:color w:val="auto"/>
              </w:rPr>
            </w:pPr>
          </w:p>
        </w:tc>
        <w:tc>
          <w:tcPr>
            <w:tcW w:w="120"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12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(62,806</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45"/>
        </w:trPr>
        <w:tc>
          <w:tcPr>
            <w:tcW w:w="638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Unrealized gain (loss) on investments, net of tax</w:t>
            </w:r>
          </w:p>
        </w:tc>
        <w:tc>
          <w:tcPr>
            <w:tcW w:w="10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(46 )</w:t>
            </w:r>
          </w:p>
        </w:tc>
        <w:tc>
          <w:tcPr>
            <w:tcW w:w="0" w:type="dxa"/>
            <w:vAlign w:val="bottom"/>
          </w:tcPr>
          <w:p>
            <w:pPr>
              <w:spacing w:after="0"/>
              <w:rPr>
                <w:sz w:val="1"/>
                <w:szCs w:val="1"/>
                <w:color w:val="auto"/>
              </w:rPr>
            </w:pPr>
          </w:p>
        </w:tc>
      </w:tr>
      <w:tr>
        <w:trPr>
          <w:trHeight w:val="233"/>
        </w:trPr>
        <w:tc>
          <w:tcPr>
            <w:tcW w:w="638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Total other comprehensive income (loss)</w:t>
            </w:r>
          </w:p>
        </w:tc>
        <w:tc>
          <w:tcPr>
            <w:tcW w:w="10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spacing w:after="0"/>
              <w:rPr>
                <w:sz w:val="20"/>
                <w:szCs w:val="20"/>
                <w:color w:val="auto"/>
              </w:rPr>
            </w:pPr>
          </w:p>
        </w:tc>
        <w:tc>
          <w:tcPr>
            <w:tcW w:w="12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555</w:t>
            </w:r>
          </w:p>
        </w:tc>
        <w:tc>
          <w:tcPr>
            <w:tcW w:w="100" w:type="dxa"/>
            <w:vAlign w:val="bottom"/>
            <w:tcBorders>
              <w:bottom w:val="single" w:sz="8" w:color="auto"/>
            </w:tcBorders>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2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0" w:type="dxa"/>
            <w:vAlign w:val="bottom"/>
          </w:tcPr>
          <w:p>
            <w:pPr>
              <w:spacing w:after="0"/>
              <w:rPr>
                <w:sz w:val="1"/>
                <w:szCs w:val="1"/>
                <w:color w:val="auto"/>
              </w:rPr>
            </w:pPr>
          </w:p>
        </w:tc>
      </w:tr>
      <w:tr>
        <w:trPr>
          <w:trHeight w:val="237"/>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106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(142,888 )</w:t>
            </w:r>
          </w:p>
        </w:tc>
        <w:tc>
          <w:tcPr>
            <w:tcW w:w="16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(62,852 )</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4725035</wp:posOffset>
                </wp:positionH>
                <wp:positionV relativeFrom="paragraph">
                  <wp:posOffset>-4307205</wp:posOffset>
                </wp:positionV>
                <wp:extent cx="189928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928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05pt,-339.1499pt" to="521.6pt,-339.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4725035</wp:posOffset>
                </wp:positionH>
                <wp:positionV relativeFrom="paragraph">
                  <wp:posOffset>-3394710</wp:posOffset>
                </wp:positionV>
                <wp:extent cx="90233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233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05pt,-267.2999pt" to="443.1pt,-267.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5725160</wp:posOffset>
                </wp:positionH>
                <wp:positionV relativeFrom="paragraph">
                  <wp:posOffset>-3394710</wp:posOffset>
                </wp:positionV>
                <wp:extent cx="899160"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91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8pt,-267.2999pt" to="521.6pt,-267.2999pt" o:allowincell="f" strokecolor="#FFFFFF" strokeweight="0.72pt"/>
            </w:pict>
          </mc:Fallback>
        </mc:AlternateConten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10440"/>
          </w:cols>
          <w:pgMar w:left="900" w:top="925" w:right="900" w:bottom="175"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redeemable convertible preferred stock and stockholders’ equity (deficit)</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 except share amounts)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40" w:type="dxa"/>
            <w:vAlign w:val="bottom"/>
            <w:gridSpan w:val="69"/>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0" w:type="dxa"/>
            <w:vAlign w:val="bottom"/>
          </w:tcPr>
          <w:p>
            <w:pPr>
              <w:spacing w:after="0"/>
              <w:rPr>
                <w:sz w:val="1"/>
                <w:szCs w:val="1"/>
                <w:color w:val="auto"/>
              </w:rPr>
            </w:pPr>
          </w:p>
        </w:tc>
      </w:tr>
      <w:tr>
        <w:trPr>
          <w:trHeight w:val="185"/>
        </w:trPr>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1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Redeemable Convertible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18"/>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1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Preferred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9"/>
          </w:tcPr>
          <w:p>
            <w:pPr>
              <w:ind w:left="4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6"/>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53"/>
        </w:trPr>
        <w:tc>
          <w:tcPr>
            <w:tcW w:w="6280" w:type="dxa"/>
            <w:vAlign w:val="bottom"/>
            <w:tcBorders>
              <w:right w:val="single" w:sz="8" w:color="auto"/>
            </w:tcBorders>
            <w:gridSpan w:val="18"/>
          </w:tcPr>
          <w:p>
            <w:pPr>
              <w:spacing w:after="0"/>
              <w:rPr>
                <w:sz w:val="13"/>
                <w:szCs w:val="13"/>
                <w:color w:val="auto"/>
              </w:rPr>
            </w:pPr>
          </w:p>
        </w:tc>
        <w:tc>
          <w:tcPr>
            <w:tcW w:w="7760" w:type="dxa"/>
            <w:vAlign w:val="bottom"/>
            <w:gridSpan w:val="51"/>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0"/>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(Deficit)</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D4EFF4"/>
            </w:tcBorders>
            <w:gridSpan w:val="2"/>
            <w:vMerge w:val="continue"/>
          </w:tcPr>
          <w:p>
            <w:pPr>
              <w:spacing w:after="0"/>
              <w:rPr>
                <w:sz w:val="18"/>
                <w:szCs w:val="18"/>
                <w:color w:val="auto"/>
              </w:rPr>
            </w:pPr>
          </w:p>
        </w:tc>
        <w:tc>
          <w:tcPr>
            <w:tcW w:w="1040" w:type="dxa"/>
            <w:vAlign w:val="bottom"/>
            <w:tcBorders>
              <w:bottom w:val="single" w:sz="8" w:color="D4EFF4"/>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22,941,170</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D4EFF4"/>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230,935</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right w:val="single" w:sz="8" w:color="auto"/>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20" w:type="dxa"/>
            <w:vAlign w:val="bottom"/>
            <w:tcBorders>
              <w:bottom w:val="single" w:sz="8" w:color="D4EFF4"/>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2,992,479</w:t>
            </w:r>
          </w:p>
        </w:tc>
        <w:tc>
          <w:tcPr>
            <w:tcW w:w="14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bottom w:val="single" w:sz="8" w:color="D4EFF4"/>
            </w:tcBorders>
          </w:tcPr>
          <w:p>
            <w:pPr>
              <w:spacing w:after="0"/>
              <w:rPr>
                <w:sz w:val="18"/>
                <w:szCs w:val="18"/>
                <w:color w:val="auto"/>
              </w:rPr>
            </w:pPr>
          </w:p>
        </w:tc>
        <w:tc>
          <w:tcPr>
            <w:tcW w:w="640" w:type="dxa"/>
            <w:vAlign w:val="bottom"/>
            <w:tcBorders>
              <w:bottom w:val="single" w:sz="8" w:color="D4EFF4"/>
            </w:tcBorders>
          </w:tcPr>
          <w:p>
            <w:pPr>
              <w:spacing w:after="0"/>
              <w:rPr>
                <w:sz w:val="18"/>
                <w:szCs w:val="18"/>
                <w:color w:val="auto"/>
              </w:rPr>
            </w:pPr>
          </w:p>
        </w:tc>
        <w:tc>
          <w:tcPr>
            <w:tcW w:w="22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(127,974 )</w:t>
            </w:r>
          </w:p>
        </w:tc>
        <w:tc>
          <w:tcPr>
            <w:tcW w:w="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(123,126 )</w:t>
            </w:r>
          </w:p>
        </w:tc>
        <w:tc>
          <w:tcPr>
            <w:tcW w:w="20" w:type="dxa"/>
            <w:vAlign w:val="bottom"/>
            <w:tcBorders>
              <w:bottom w:val="single" w:sz="8" w:color="D4EFF4"/>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280" w:type="dxa"/>
            <w:vAlign w:val="bottom"/>
            <w:tcBorders>
              <w:right w:val="single" w:sz="8" w:color="auto"/>
            </w:tcBorders>
            <w:gridSpan w:val="18"/>
            <w:shd w:val="clear" w:color="auto" w:fill="D4EFF4"/>
          </w:tcPr>
          <w:p>
            <w:pPr>
              <w:spacing w:after="0" w:line="163" w:lineRule="exact"/>
              <w:rPr>
                <w:sz w:val="20"/>
                <w:szCs w:val="20"/>
                <w:color w:val="auto"/>
              </w:rPr>
            </w:pPr>
            <w:r>
              <w:rPr>
                <w:rFonts w:ascii="Times New Roman" w:cs="Times New Roman" w:eastAsia="Times New Roman" w:hAnsi="Times New Roman"/>
                <w:sz w:val="18"/>
                <w:szCs w:val="18"/>
                <w:color w:val="auto"/>
              </w:rPr>
              <w:t>Issuance of Series B redeemable convertible</w:t>
            </w:r>
          </w:p>
        </w:tc>
        <w:tc>
          <w:tcPr>
            <w:tcW w:w="7760" w:type="dxa"/>
            <w:vAlign w:val="bottom"/>
            <w:gridSpan w:val="51"/>
            <w:shd w:val="clear" w:color="auto" w:fill="D4EFF4"/>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6280" w:type="dxa"/>
            <w:vAlign w:val="bottom"/>
            <w:tcBorders>
              <w:right w:val="single" w:sz="8" w:color="auto"/>
            </w:tcBorders>
            <w:gridSpan w:val="18"/>
            <w:shd w:val="clear" w:color="auto" w:fill="D4EFF4"/>
          </w:tcPr>
          <w:p>
            <w:pPr>
              <w:ind w:left="140"/>
              <w:spacing w:after="0"/>
              <w:rPr>
                <w:sz w:val="20"/>
                <w:szCs w:val="20"/>
                <w:color w:val="auto"/>
              </w:rPr>
            </w:pPr>
            <w:r>
              <w:rPr>
                <w:rFonts w:ascii="Times New Roman" w:cs="Times New Roman" w:eastAsia="Times New Roman" w:hAnsi="Times New Roman"/>
                <w:sz w:val="18"/>
                <w:szCs w:val="18"/>
                <w:color w:val="auto"/>
              </w:rPr>
              <w:t>preferred stock in connection with the settlement</w:t>
            </w:r>
          </w:p>
        </w:tc>
        <w:tc>
          <w:tcPr>
            <w:tcW w:w="7760" w:type="dxa"/>
            <w:vAlign w:val="bottom"/>
            <w:gridSpan w:val="51"/>
            <w:shd w:val="clear" w:color="auto" w:fill="D4EFF4"/>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6280" w:type="dxa"/>
            <w:vAlign w:val="bottom"/>
            <w:tcBorders>
              <w:right w:val="single" w:sz="8" w:color="auto"/>
            </w:tcBorders>
            <w:gridSpan w:val="18"/>
            <w:shd w:val="clear" w:color="auto" w:fill="D4EFF4"/>
          </w:tcPr>
          <w:p>
            <w:pPr>
              <w:ind w:left="140"/>
              <w:spacing w:after="0"/>
              <w:rPr>
                <w:sz w:val="20"/>
                <w:szCs w:val="20"/>
                <w:color w:val="auto"/>
              </w:rPr>
            </w:pPr>
            <w:r>
              <w:rPr>
                <w:rFonts w:ascii="Times New Roman" w:cs="Times New Roman" w:eastAsia="Times New Roman" w:hAnsi="Times New Roman"/>
                <w:sz w:val="18"/>
                <w:szCs w:val="18"/>
                <w:color w:val="auto"/>
              </w:rPr>
              <w:t>of the tranche right liability, net of issuance costs</w:t>
            </w:r>
          </w:p>
        </w:tc>
        <w:tc>
          <w:tcPr>
            <w:tcW w:w="7760" w:type="dxa"/>
            <w:vAlign w:val="bottom"/>
            <w:gridSpan w:val="51"/>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940" w:type="dxa"/>
            <w:vAlign w:val="bottom"/>
            <w:gridSpan w:val="3"/>
            <w:shd w:val="clear" w:color="auto" w:fill="D4EFF4"/>
          </w:tcPr>
          <w:p>
            <w:pPr>
              <w:ind w:left="140"/>
              <w:spacing w:after="0"/>
              <w:rPr>
                <w:sz w:val="20"/>
                <w:szCs w:val="20"/>
                <w:color w:val="auto"/>
              </w:rPr>
            </w:pPr>
            <w:r>
              <w:rPr>
                <w:rFonts w:ascii="Times New Roman" w:cs="Times New Roman" w:eastAsia="Times New Roman" w:hAnsi="Times New Roman"/>
                <w:sz w:val="18"/>
                <w:szCs w:val="18"/>
                <w:color w:val="auto"/>
              </w:rPr>
              <w:t>of $75</w:t>
            </w:r>
          </w:p>
        </w:tc>
        <w:tc>
          <w:tcPr>
            <w:tcW w:w="1340" w:type="dxa"/>
            <w:vAlign w:val="bottom"/>
            <w:gridSpan w:val="9"/>
            <w:shd w:val="clear" w:color="auto" w:fill="D4EFF4"/>
          </w:tcPr>
          <w:p>
            <w:pPr>
              <w:jc w:val="right"/>
              <w:ind w:right="353"/>
              <w:spacing w:after="0"/>
              <w:rPr>
                <w:sz w:val="20"/>
                <w:szCs w:val="20"/>
                <w:color w:val="auto"/>
              </w:rPr>
            </w:pPr>
            <w:r>
              <w:rPr>
                <w:rFonts w:ascii="Times New Roman" w:cs="Times New Roman" w:eastAsia="Times New Roman" w:hAnsi="Times New Roman"/>
                <w:sz w:val="18"/>
                <w:szCs w:val="18"/>
                <w:color w:val="auto"/>
              </w:rPr>
              <w:t>8,823,523</w:t>
            </w:r>
          </w:p>
        </w:tc>
        <w:tc>
          <w:tcPr>
            <w:tcW w:w="1000" w:type="dxa"/>
            <w:vAlign w:val="bottom"/>
            <w:tcBorders>
              <w:right w:val="single" w:sz="8" w:color="auto"/>
            </w:tcBorders>
            <w:gridSpan w:val="6"/>
            <w:shd w:val="clear" w:color="auto" w:fill="D4EFF4"/>
          </w:tcPr>
          <w:p>
            <w:pPr>
              <w:jc w:val="right"/>
              <w:ind w:right="320"/>
              <w:spacing w:after="0"/>
              <w:rPr>
                <w:sz w:val="20"/>
                <w:szCs w:val="20"/>
                <w:color w:val="auto"/>
              </w:rPr>
            </w:pPr>
            <w:r>
              <w:rPr>
                <w:rFonts w:ascii="Times New Roman" w:cs="Times New Roman" w:eastAsia="Times New Roman" w:hAnsi="Times New Roman"/>
                <w:sz w:val="18"/>
                <w:szCs w:val="18"/>
                <w:color w:val="auto"/>
              </w:rPr>
              <w:t>149,939</w:t>
            </w:r>
          </w:p>
        </w:tc>
        <w:tc>
          <w:tcPr>
            <w:tcW w:w="2200" w:type="dxa"/>
            <w:vAlign w:val="bottom"/>
            <w:gridSpan w:val="14"/>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9"/>
            <w:shd w:val="clear" w:color="auto" w:fill="D4EFF4"/>
          </w:tcPr>
          <w:p>
            <w:pPr>
              <w:jc w:val="right"/>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8"/>
            <w:shd w:val="clear" w:color="auto" w:fill="D4EFF4"/>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8"/>
            <w:shd w:val="clear" w:color="auto" w:fill="D4EFF4"/>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8"/>
            <w:shd w:val="clear" w:color="auto" w:fill="D4EFF4"/>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D4EFF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2"/>
        </w:trPr>
        <w:tc>
          <w:tcPr>
            <w:tcW w:w="6280" w:type="dxa"/>
            <w:vAlign w:val="bottom"/>
            <w:tcBorders>
              <w:right w:val="single" w:sz="8" w:color="auto"/>
            </w:tcBorders>
            <w:gridSpan w:val="18"/>
          </w:tcPr>
          <w:p>
            <w:pPr>
              <w:spacing w:after="0" w:line="182" w:lineRule="exact"/>
              <w:rPr>
                <w:sz w:val="20"/>
                <w:szCs w:val="20"/>
                <w:color w:val="auto"/>
              </w:rPr>
            </w:pPr>
            <w:r>
              <w:rPr>
                <w:rFonts w:ascii="Times New Roman" w:cs="Times New Roman" w:eastAsia="Times New Roman" w:hAnsi="Times New Roman"/>
                <w:sz w:val="18"/>
                <w:szCs w:val="18"/>
                <w:color w:val="auto"/>
              </w:rPr>
              <w:t>Conversion of convertible preferred stock to</w:t>
            </w:r>
          </w:p>
        </w:tc>
        <w:tc>
          <w:tcPr>
            <w:tcW w:w="7760" w:type="dxa"/>
            <w:vAlign w:val="bottom"/>
            <w:gridSpan w:val="51"/>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280" w:type="dxa"/>
            <w:vAlign w:val="bottom"/>
            <w:tcBorders>
              <w:right w:val="single" w:sz="8" w:color="auto"/>
            </w:tcBorders>
            <w:gridSpan w:val="18"/>
          </w:tcPr>
          <w:p>
            <w:pPr>
              <w:ind w:left="140"/>
              <w:spacing w:after="0"/>
              <w:rPr>
                <w:sz w:val="20"/>
                <w:szCs w:val="20"/>
                <w:color w:val="auto"/>
              </w:rPr>
            </w:pPr>
            <w:r>
              <w:rPr>
                <w:rFonts w:ascii="Times New Roman" w:cs="Times New Roman" w:eastAsia="Times New Roman" w:hAnsi="Times New Roman"/>
                <w:sz w:val="18"/>
                <w:szCs w:val="18"/>
                <w:color w:val="auto"/>
              </w:rPr>
              <w:t>common stock upon closing of initial public</w:t>
            </w:r>
          </w:p>
        </w:tc>
        <w:tc>
          <w:tcPr>
            <w:tcW w:w="7760" w:type="dxa"/>
            <w:vAlign w:val="bottom"/>
            <w:gridSpan w:val="51"/>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D4EFF4"/>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offering</w:t>
            </w:r>
          </w:p>
        </w:tc>
        <w:tc>
          <w:tcPr>
            <w:tcW w:w="1160" w:type="dxa"/>
            <w:vAlign w:val="bottom"/>
            <w:tcBorders>
              <w:bottom w:val="single" w:sz="8" w:color="D4EFF4"/>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(31,764,693 )</w:t>
            </w: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840" w:type="dxa"/>
            <w:vAlign w:val="bottom"/>
            <w:tcBorders>
              <w:bottom w:val="single" w:sz="8" w:color="D4EFF4"/>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(380,874 )</w:t>
            </w: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right w:val="single" w:sz="8" w:color="auto"/>
            </w:tcBorders>
          </w:tcPr>
          <w:p>
            <w:pPr>
              <w:spacing w:after="0"/>
              <w:rPr>
                <w:sz w:val="21"/>
                <w:szCs w:val="21"/>
                <w:color w:val="auto"/>
              </w:rPr>
            </w:pPr>
          </w:p>
        </w:tc>
        <w:tc>
          <w:tcPr>
            <w:tcW w:w="1160" w:type="dxa"/>
            <w:vAlign w:val="bottom"/>
            <w:tcBorders>
              <w:bottom w:val="single" w:sz="8" w:color="D4EFF4"/>
            </w:tcBorders>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33,321,149</w:t>
            </w: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640" w:type="dxa"/>
            <w:vAlign w:val="bottom"/>
            <w:tcBorders>
              <w:bottom w:val="single" w:sz="8" w:color="D4EFF4"/>
            </w:tcBorders>
          </w:tcPr>
          <w:p>
            <w:pPr>
              <w:spacing w:after="0"/>
              <w:rPr>
                <w:sz w:val="21"/>
                <w:szCs w:val="21"/>
                <w:color w:val="auto"/>
              </w:rPr>
            </w:pPr>
          </w:p>
        </w:tc>
        <w:tc>
          <w:tcPr>
            <w:tcW w:w="220" w:type="dxa"/>
            <w:vAlign w:val="bottom"/>
            <w:tcBorders>
              <w:bottom w:val="single" w:sz="8" w:color="D4EFF4"/>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33</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8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380,841</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8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8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940" w:type="dxa"/>
            <w:vAlign w:val="bottom"/>
            <w:tcBorders>
              <w:bottom w:val="single" w:sz="8" w:color="D4EFF4"/>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380,874</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6280" w:type="dxa"/>
            <w:vAlign w:val="bottom"/>
            <w:tcBorders>
              <w:right w:val="single" w:sz="8" w:color="auto"/>
            </w:tcBorders>
            <w:gridSpan w:val="18"/>
            <w:shd w:val="clear" w:color="auto" w:fill="D4EFF4"/>
          </w:tcPr>
          <w:p>
            <w:pPr>
              <w:spacing w:after="0" w:line="165" w:lineRule="exact"/>
              <w:rPr>
                <w:sz w:val="20"/>
                <w:szCs w:val="20"/>
                <w:color w:val="auto"/>
              </w:rPr>
            </w:pPr>
            <w:r>
              <w:rPr>
                <w:rFonts w:ascii="Times New Roman" w:cs="Times New Roman" w:eastAsia="Times New Roman" w:hAnsi="Times New Roman"/>
                <w:sz w:val="18"/>
                <w:szCs w:val="18"/>
                <w:color w:val="auto"/>
              </w:rPr>
              <w:t>Issuance of common stock from initial public</w:t>
            </w:r>
          </w:p>
        </w:tc>
        <w:tc>
          <w:tcPr>
            <w:tcW w:w="7760" w:type="dxa"/>
            <w:vAlign w:val="bottom"/>
            <w:gridSpan w:val="51"/>
            <w:shd w:val="clear" w:color="auto" w:fill="D4EFF4"/>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280" w:type="dxa"/>
            <w:vAlign w:val="bottom"/>
            <w:tcBorders>
              <w:right w:val="single" w:sz="8" w:color="auto"/>
            </w:tcBorders>
            <w:gridSpan w:val="18"/>
            <w:shd w:val="clear" w:color="auto" w:fill="D4EFF4"/>
          </w:tcPr>
          <w:p>
            <w:pPr>
              <w:ind w:left="140"/>
              <w:spacing w:after="0"/>
              <w:rPr>
                <w:sz w:val="20"/>
                <w:szCs w:val="20"/>
                <w:color w:val="auto"/>
              </w:rPr>
            </w:pPr>
            <w:r>
              <w:rPr>
                <w:rFonts w:ascii="Times New Roman" w:cs="Times New Roman" w:eastAsia="Times New Roman" w:hAnsi="Times New Roman"/>
                <w:sz w:val="18"/>
                <w:szCs w:val="18"/>
                <w:color w:val="auto"/>
              </w:rPr>
              <w:t>offering, net of issuance costs of $3.9 million</w:t>
            </w:r>
          </w:p>
        </w:tc>
        <w:tc>
          <w:tcPr>
            <w:tcW w:w="7760" w:type="dxa"/>
            <w:vAlign w:val="bottom"/>
            <w:gridSpan w:val="51"/>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800" w:type="dxa"/>
            <w:vAlign w:val="bottom"/>
            <w:tcBorders>
              <w:bottom w:val="single" w:sz="8" w:color="D4EFF4"/>
            </w:tcBorders>
            <w:shd w:val="clear" w:color="auto" w:fill="D4EFF4"/>
          </w:tcPr>
          <w:p>
            <w:pPr>
              <w:ind w:left="140"/>
              <w:spacing w:after="0"/>
              <w:rPr>
                <w:sz w:val="20"/>
                <w:szCs w:val="20"/>
                <w:color w:val="auto"/>
              </w:rPr>
            </w:pPr>
            <w:r>
              <w:rPr>
                <w:rFonts w:ascii="Times New Roman" w:cs="Times New Roman" w:eastAsia="Times New Roman" w:hAnsi="Times New Roman"/>
                <w:sz w:val="18"/>
                <w:szCs w:val="18"/>
                <w:color w:val="auto"/>
              </w:rPr>
              <w:t>and underwriting fee of $20.5 million</w:t>
            </w:r>
          </w:p>
        </w:tc>
        <w:tc>
          <w:tcPr>
            <w:tcW w:w="20" w:type="dxa"/>
            <w:vAlign w:val="bottom"/>
            <w:shd w:val="clear" w:color="auto" w:fill="D4EFF4"/>
          </w:tcPr>
          <w:p>
            <w:pPr>
              <w:spacing w:after="0"/>
              <w:rPr>
                <w:sz w:val="18"/>
                <w:szCs w:val="18"/>
                <w:color w:val="auto"/>
              </w:rPr>
            </w:pPr>
          </w:p>
        </w:tc>
        <w:tc>
          <w:tcPr>
            <w:tcW w:w="1020" w:type="dxa"/>
            <w:vAlign w:val="bottom"/>
            <w:tcBorders>
              <w:bottom w:val="single" w:sz="8" w:color="D4EFF4"/>
            </w:tcBorders>
            <w:gridSpan w:val="2"/>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gridSpan w:val="2"/>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68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60" w:type="dxa"/>
            <w:vAlign w:val="bottom"/>
            <w:tcBorders>
              <w:bottom w:val="single" w:sz="8" w:color="D4EFF4"/>
              <w:right w:val="single" w:sz="8" w:color="auto"/>
            </w:tcBorders>
            <w:gridSpan w:val="2"/>
            <w:shd w:val="clear" w:color="auto" w:fill="D4EFF4"/>
          </w:tcPr>
          <w:p>
            <w:pPr>
              <w:spacing w:after="0"/>
              <w:rPr>
                <w:sz w:val="18"/>
                <w:szCs w:val="18"/>
                <w:color w:val="auto"/>
              </w:rPr>
            </w:pPr>
          </w:p>
        </w:tc>
        <w:tc>
          <w:tcPr>
            <w:tcW w:w="120" w:type="dxa"/>
            <w:vAlign w:val="bottom"/>
            <w:tcBorders>
              <w:bottom w:val="single" w:sz="8" w:color="D4EFF4"/>
            </w:tcBorders>
            <w:gridSpan w:val="2"/>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17,250,000</w:t>
            </w:r>
          </w:p>
        </w:tc>
        <w:tc>
          <w:tcPr>
            <w:tcW w:w="20" w:type="dxa"/>
            <w:vAlign w:val="bottom"/>
            <w:shd w:val="clear" w:color="auto" w:fill="D4EFF4"/>
          </w:tcPr>
          <w:p>
            <w:pPr>
              <w:spacing w:after="0"/>
              <w:rPr>
                <w:sz w:val="18"/>
                <w:szCs w:val="18"/>
                <w:color w:val="auto"/>
              </w:rPr>
            </w:pPr>
          </w:p>
        </w:tc>
        <w:tc>
          <w:tcPr>
            <w:tcW w:w="260" w:type="dxa"/>
            <w:vAlign w:val="bottom"/>
            <w:tcBorders>
              <w:bottom w:val="single" w:sz="8" w:color="D4EFF4"/>
            </w:tcBorders>
            <w:gridSpan w:val="3"/>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0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40" w:type="dxa"/>
            <w:vAlign w:val="bottom"/>
            <w:tcBorders>
              <w:bottom w:val="single" w:sz="8" w:color="D4EFF4"/>
            </w:tcBorders>
            <w:gridSpan w:val="2"/>
            <w:shd w:val="clear" w:color="auto" w:fill="D4EFF4"/>
          </w:tcPr>
          <w:p>
            <w:pPr>
              <w:jc w:val="right"/>
              <w:ind w:right="750"/>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240" w:type="dxa"/>
            <w:vAlign w:val="bottom"/>
            <w:tcBorders>
              <w:bottom w:val="single" w:sz="8" w:color="D4EFF4"/>
            </w:tcBorders>
            <w:gridSpan w:val="4"/>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2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268,776</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82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gridSpan w:val="2"/>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1060" w:type="dxa"/>
            <w:vAlign w:val="bottom"/>
            <w:tcBorders>
              <w:bottom w:val="single" w:sz="8" w:color="D4EFF4"/>
            </w:tcBorders>
            <w:gridSpan w:val="2"/>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260" w:type="dxa"/>
            <w:vAlign w:val="bottom"/>
            <w:tcBorders>
              <w:bottom w:val="single" w:sz="8" w:color="D4EFF4"/>
            </w:tcBorders>
            <w:gridSpan w:val="3"/>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90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8"/>
                <w:szCs w:val="18"/>
                <w:color w:val="auto"/>
              </w:rPr>
              <w:t>268,793</w:t>
            </w:r>
          </w:p>
        </w:tc>
        <w:tc>
          <w:tcPr>
            <w:tcW w:w="20" w:type="dxa"/>
            <w:vAlign w:val="bottom"/>
            <w:shd w:val="clear" w:color="auto" w:fill="D4EFF4"/>
          </w:tcPr>
          <w:p>
            <w:pPr>
              <w:spacing w:after="0"/>
              <w:rPr>
                <w:sz w:val="18"/>
                <w:szCs w:val="18"/>
                <w:color w:val="auto"/>
              </w:rPr>
            </w:pPr>
          </w:p>
        </w:tc>
        <w:tc>
          <w:tcPr>
            <w:tcW w:w="120" w:type="dxa"/>
            <w:vAlign w:val="bottom"/>
            <w:tcBorders>
              <w:bottom w:val="single" w:sz="8" w:color="D4EFF4"/>
            </w:tcBorders>
            <w:shd w:val="clear" w:color="auto" w:fill="D4EFF4"/>
          </w:tcPr>
          <w:p>
            <w:pPr>
              <w:spacing w:after="0"/>
              <w:rPr>
                <w:sz w:val="18"/>
                <w:szCs w:val="18"/>
                <w:color w:val="auto"/>
              </w:rPr>
            </w:pPr>
          </w:p>
        </w:tc>
        <w:tc>
          <w:tcPr>
            <w:tcW w:w="20" w:type="dxa"/>
            <w:vAlign w:val="bottom"/>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40" w:type="dxa"/>
            <w:vAlign w:val="bottom"/>
            <w:tcBorders>
              <w:bottom w:val="single" w:sz="8" w:color="D4EFF4"/>
            </w:tcBorders>
            <w:gridSpan w:val="3"/>
          </w:tcPr>
          <w:p>
            <w:pPr>
              <w:spacing w:after="0" w:line="201" w:lineRule="exact"/>
              <w:rPr>
                <w:sz w:val="20"/>
                <w:szCs w:val="20"/>
                <w:color w:val="auto"/>
              </w:rPr>
            </w:pPr>
            <w:r>
              <w:rPr>
                <w:rFonts w:ascii="Times New Roman" w:cs="Times New Roman" w:eastAsia="Times New Roman" w:hAnsi="Times New Roman"/>
                <w:sz w:val="18"/>
                <w:szCs w:val="18"/>
                <w:color w:val="auto"/>
              </w:rPr>
              <w:t>Exercise of stock options, net of tax withholding</w:t>
            </w:r>
          </w:p>
        </w:tc>
        <w:tc>
          <w:tcPr>
            <w:tcW w:w="1340" w:type="dxa"/>
            <w:vAlign w:val="bottom"/>
            <w:tcBorders>
              <w:bottom w:val="single" w:sz="8" w:color="D4EFF4"/>
            </w:tcBorders>
            <w:gridSpan w:val="9"/>
          </w:tcPr>
          <w:p>
            <w:pPr>
              <w:jc w:val="right"/>
              <w:ind w:right="353"/>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D4EFF4"/>
              <w:right w:val="single" w:sz="8" w:color="auto"/>
            </w:tcBorders>
            <w:gridSpan w:val="6"/>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bottom w:val="single" w:sz="8" w:color="D4EFF4"/>
            </w:tcBorders>
            <w:gridSpan w:val="14"/>
          </w:tcPr>
          <w:p>
            <w:pPr>
              <w:jc w:val="right"/>
              <w:ind w:right="2115"/>
              <w:spacing w:after="0"/>
              <w:rPr>
                <w:sz w:val="20"/>
                <w:szCs w:val="20"/>
                <w:color w:val="auto"/>
              </w:rPr>
            </w:pPr>
            <w:r>
              <w:rPr>
                <w:rFonts w:ascii="Times New Roman" w:cs="Times New Roman" w:eastAsia="Times New Roman" w:hAnsi="Times New Roman"/>
                <w:sz w:val="18"/>
                <w:szCs w:val="18"/>
                <w:color w:val="auto"/>
              </w:rPr>
              <w:t>39,770</w:t>
            </w:r>
          </w:p>
        </w:tc>
        <w:tc>
          <w:tcPr>
            <w:tcW w:w="620" w:type="dxa"/>
            <w:vAlign w:val="bottom"/>
            <w:tcBorders>
              <w:bottom w:val="single" w:sz="8" w:color="D4EFF4"/>
            </w:tcBorders>
            <w:gridSpan w:val="9"/>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bottom w:val="single" w:sz="8" w:color="D4EFF4"/>
            </w:tcBorders>
            <w:gridSpan w:val="8"/>
          </w:tcPr>
          <w:p>
            <w:pPr>
              <w:jc w:val="right"/>
              <w:ind w:right="350"/>
              <w:spacing w:after="0" w:line="201" w:lineRule="exact"/>
              <w:rPr>
                <w:sz w:val="20"/>
                <w:szCs w:val="20"/>
                <w:color w:val="auto"/>
              </w:rPr>
            </w:pPr>
            <w:r>
              <w:rPr>
                <w:rFonts w:ascii="Times New Roman" w:cs="Times New Roman" w:eastAsia="Times New Roman" w:hAnsi="Times New Roman"/>
                <w:sz w:val="18"/>
                <w:szCs w:val="18"/>
                <w:color w:val="auto"/>
              </w:rPr>
              <w:t>159</w:t>
            </w:r>
          </w:p>
        </w:tc>
        <w:tc>
          <w:tcPr>
            <w:tcW w:w="1260" w:type="dxa"/>
            <w:vAlign w:val="bottom"/>
            <w:tcBorders>
              <w:bottom w:val="single" w:sz="8" w:color="D4EFF4"/>
            </w:tcBorders>
            <w:gridSpan w:val="8"/>
          </w:tcPr>
          <w:p>
            <w:pPr>
              <w:jc w:val="right"/>
              <w:ind w:right="354"/>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D4EFF4"/>
            </w:tcBorders>
            <w:gridSpan w:val="8"/>
          </w:tcPr>
          <w:p>
            <w:pPr>
              <w:jc w:val="right"/>
              <w:ind w:right="3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D4EFF4"/>
            </w:tcBorders>
            <w:gridSpan w:val="4"/>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1"/>
        </w:trPr>
        <w:tc>
          <w:tcPr>
            <w:tcW w:w="3940" w:type="dxa"/>
            <w:vAlign w:val="bottom"/>
            <w:gridSpan w:val="3"/>
            <w:shd w:val="clear" w:color="auto" w:fill="D4EFF4"/>
          </w:tcPr>
          <w:p>
            <w:pPr>
              <w:spacing w:after="0" w:line="201"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gridSpan w:val="9"/>
            <w:shd w:val="clear" w:color="auto" w:fill="D4EFF4"/>
          </w:tcPr>
          <w:p>
            <w:pPr>
              <w:jc w:val="right"/>
              <w:ind w:right="353"/>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6"/>
            <w:shd w:val="clear" w:color="auto" w:fill="D4EFF4"/>
          </w:tcPr>
          <w:p>
            <w:pPr>
              <w:jc w:val="right"/>
              <w:ind w:right="3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14"/>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9"/>
            <w:shd w:val="clear" w:color="auto" w:fill="D4EFF4"/>
          </w:tcPr>
          <w:p>
            <w:pPr>
              <w:jc w:val="right"/>
              <w:ind w:right="420"/>
              <w:spacing w:after="0" w:line="201" w:lineRule="exact"/>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8"/>
            <w:shd w:val="clear" w:color="auto" w:fill="D4EFF4"/>
          </w:tcPr>
          <w:p>
            <w:pPr>
              <w:jc w:val="right"/>
              <w:ind w:right="350"/>
              <w:spacing w:after="0" w:line="201" w:lineRule="exact"/>
              <w:rPr>
                <w:sz w:val="20"/>
                <w:szCs w:val="20"/>
                <w:color w:val="auto"/>
              </w:rPr>
            </w:pPr>
            <w:r>
              <w:rPr>
                <w:rFonts w:ascii="Times New Roman" w:cs="Times New Roman" w:eastAsia="Times New Roman" w:hAnsi="Times New Roman"/>
                <w:sz w:val="18"/>
                <w:szCs w:val="18"/>
                <w:color w:val="auto"/>
              </w:rPr>
              <w:t>6,004</w:t>
            </w:r>
          </w:p>
        </w:tc>
        <w:tc>
          <w:tcPr>
            <w:tcW w:w="1260" w:type="dxa"/>
            <w:vAlign w:val="bottom"/>
            <w:gridSpan w:val="8"/>
            <w:shd w:val="clear" w:color="auto" w:fill="D4EFF4"/>
          </w:tcPr>
          <w:p>
            <w:pPr>
              <w:jc w:val="right"/>
              <w:ind w:right="354"/>
              <w:spacing w:after="0" w:line="20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8"/>
            <w:shd w:val="clear" w:color="auto" w:fill="D4EFF4"/>
          </w:tcPr>
          <w:p>
            <w:pPr>
              <w:jc w:val="right"/>
              <w:ind w:right="35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D4EFF4"/>
          </w:tcPr>
          <w:p>
            <w:pPr>
              <w:jc w:val="right"/>
              <w:ind w:right="160"/>
              <w:spacing w:after="0" w:line="201" w:lineRule="exact"/>
              <w:rPr>
                <w:sz w:val="20"/>
                <w:szCs w:val="20"/>
                <w:color w:val="auto"/>
              </w:rPr>
            </w:pPr>
            <w:r>
              <w:rPr>
                <w:rFonts w:ascii="Times New Roman" w:cs="Times New Roman" w:eastAsia="Times New Roman" w:hAnsi="Times New Roman"/>
                <w:sz w:val="18"/>
                <w:szCs w:val="18"/>
                <w:color w:val="auto"/>
              </w:rPr>
              <w:t>6,004</w:t>
            </w:r>
          </w:p>
        </w:tc>
        <w:tc>
          <w:tcPr>
            <w:tcW w:w="0" w:type="dxa"/>
            <w:vAlign w:val="bottom"/>
          </w:tcPr>
          <w:p>
            <w:pPr>
              <w:spacing w:after="0"/>
              <w:rPr>
                <w:sz w:val="1"/>
                <w:szCs w:val="1"/>
                <w:color w:val="auto"/>
              </w:rPr>
            </w:pPr>
          </w:p>
        </w:tc>
      </w:tr>
      <w:tr>
        <w:trPr>
          <w:trHeight w:val="182"/>
        </w:trPr>
        <w:tc>
          <w:tcPr>
            <w:tcW w:w="6280" w:type="dxa"/>
            <w:vAlign w:val="bottom"/>
            <w:tcBorders>
              <w:right w:val="single" w:sz="8" w:color="auto"/>
            </w:tcBorders>
            <w:gridSpan w:val="18"/>
          </w:tcPr>
          <w:p>
            <w:pPr>
              <w:spacing w:after="0" w:line="182" w:lineRule="exact"/>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7760" w:type="dxa"/>
            <w:vAlign w:val="bottom"/>
            <w:gridSpan w:val="51"/>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D4EFF4"/>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net of tax</w:t>
            </w:r>
          </w:p>
        </w:tc>
        <w:tc>
          <w:tcPr>
            <w:tcW w:w="120" w:type="dxa"/>
            <w:vAlign w:val="bottom"/>
            <w:tcBorders>
              <w:bottom w:val="single" w:sz="8" w:color="D4EFF4"/>
            </w:tcBorders>
          </w:tcPr>
          <w:p>
            <w:pPr>
              <w:spacing w:after="0"/>
              <w:rPr>
                <w:sz w:val="21"/>
                <w:szCs w:val="21"/>
                <w:color w:val="auto"/>
              </w:rPr>
            </w:pPr>
          </w:p>
        </w:tc>
        <w:tc>
          <w:tcPr>
            <w:tcW w:w="1080" w:type="dxa"/>
            <w:vAlign w:val="bottom"/>
            <w:tcBorders>
              <w:bottom w:val="single" w:sz="8" w:color="D4EFF4"/>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60" w:type="dxa"/>
            <w:vAlign w:val="bottom"/>
            <w:tcBorders>
              <w:bottom w:val="single" w:sz="8" w:color="D4EFF4"/>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4EFF4"/>
              <w:right w:val="single" w:sz="8" w:color="auto"/>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60" w:type="dxa"/>
            <w:vAlign w:val="bottom"/>
            <w:tcBorders>
              <w:bottom w:val="single" w:sz="8" w:color="D4EFF4"/>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64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80" w:type="dxa"/>
            <w:vAlign w:val="bottom"/>
            <w:tcBorders>
              <w:bottom w:val="single" w:sz="8" w:color="D4EFF4"/>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8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1060" w:type="dxa"/>
            <w:vAlign w:val="bottom"/>
            <w:tcBorders>
              <w:bottom w:val="single" w:sz="8" w:color="D4EFF4"/>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6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20" w:type="dxa"/>
            <w:vAlign w:val="bottom"/>
            <w:gridSpan w:val="2"/>
            <w:shd w:val="clear" w:color="auto" w:fill="D4EFF4"/>
          </w:tcPr>
          <w:p>
            <w:pPr>
              <w:spacing w:after="0" w:line="204" w:lineRule="exact"/>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auto"/>
            </w:tcBorders>
            <w:gridSpan w:val="6"/>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D4EFF4"/>
          </w:tcPr>
          <w:p>
            <w:pPr>
              <w:spacing w:after="0"/>
              <w:rPr>
                <w:sz w:val="19"/>
                <w:szCs w:val="19"/>
                <w:color w:val="auto"/>
              </w:rPr>
            </w:pPr>
          </w:p>
        </w:tc>
        <w:tc>
          <w:tcPr>
            <w:tcW w:w="1000" w:type="dxa"/>
            <w:vAlign w:val="bottom"/>
            <w:tcBorders>
              <w:bottom w:val="single" w:sz="8" w:color="auto"/>
            </w:tcBorders>
            <w:gridSpan w:val="7"/>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D4EFF4"/>
          </w:tcPr>
          <w:p>
            <w:pPr>
              <w:spacing w:after="0"/>
              <w:rPr>
                <w:sz w:val="19"/>
                <w:szCs w:val="19"/>
                <w:color w:val="auto"/>
              </w:rPr>
            </w:pPr>
          </w:p>
        </w:tc>
        <w:tc>
          <w:tcPr>
            <w:tcW w:w="140" w:type="dxa"/>
            <w:vAlign w:val="bottom"/>
            <w:gridSpan w:val="3"/>
            <w:shd w:val="clear" w:color="auto" w:fill="D4EFF4"/>
          </w:tcPr>
          <w:p>
            <w:pPr>
              <w:spacing w:after="0"/>
              <w:rPr>
                <w:sz w:val="19"/>
                <w:szCs w:val="19"/>
                <w:color w:val="auto"/>
              </w:rPr>
            </w:pPr>
          </w:p>
        </w:tc>
        <w:tc>
          <w:tcPr>
            <w:tcW w:w="1160" w:type="dxa"/>
            <w:vAlign w:val="bottom"/>
            <w:tcBorders>
              <w:bottom w:val="single" w:sz="8" w:color="auto"/>
            </w:tcBorders>
            <w:gridSpan w:val="5"/>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D4EFF4"/>
          </w:tcPr>
          <w:p>
            <w:pPr>
              <w:spacing w:after="0"/>
              <w:rPr>
                <w:sz w:val="19"/>
                <w:szCs w:val="19"/>
                <w:color w:val="auto"/>
              </w:rPr>
            </w:pPr>
          </w:p>
        </w:tc>
        <w:tc>
          <w:tcPr>
            <w:tcW w:w="1120" w:type="dxa"/>
            <w:vAlign w:val="bottom"/>
            <w:tcBorders>
              <w:bottom w:val="single" w:sz="8" w:color="auto"/>
            </w:tcBorders>
            <w:gridSpan w:val="7"/>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D4EFF4"/>
          </w:tcPr>
          <w:p>
            <w:pPr>
              <w:spacing w:after="0"/>
              <w:rPr>
                <w:sz w:val="19"/>
                <w:szCs w:val="19"/>
                <w:color w:val="auto"/>
              </w:rPr>
            </w:pPr>
          </w:p>
        </w:tc>
        <w:tc>
          <w:tcPr>
            <w:tcW w:w="1120" w:type="dxa"/>
            <w:vAlign w:val="bottom"/>
            <w:tcBorders>
              <w:bottom w:val="single" w:sz="8" w:color="auto"/>
            </w:tcBorders>
            <w:gridSpan w:val="7"/>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D4EFF4"/>
          </w:tcPr>
          <w:p>
            <w:pPr>
              <w:spacing w:after="0"/>
              <w:rPr>
                <w:sz w:val="19"/>
                <w:szCs w:val="19"/>
                <w:color w:val="auto"/>
              </w:rPr>
            </w:pPr>
          </w:p>
        </w:tc>
        <w:tc>
          <w:tcPr>
            <w:tcW w:w="980" w:type="dxa"/>
            <w:vAlign w:val="bottom"/>
            <w:tcBorders>
              <w:bottom w:val="single" w:sz="8" w:color="auto"/>
            </w:tcBorders>
            <w:gridSpan w:val="4"/>
            <w:shd w:val="clear" w:color="auto" w:fill="D4EFF4"/>
          </w:tcPr>
          <w:p>
            <w:pPr>
              <w:jc w:val="right"/>
              <w:ind w:right="980"/>
              <w:spacing w:after="0"/>
              <w:rPr>
                <w:sz w:val="20"/>
                <w:szCs w:val="20"/>
                <w:color w:val="auto"/>
              </w:rPr>
            </w:pPr>
            <w:r>
              <w:rPr>
                <w:rFonts w:ascii="Times New Roman" w:cs="Times New Roman" w:eastAsia="Times New Roman" w:hAnsi="Times New Roman"/>
                <w:sz w:val="18"/>
                <w:szCs w:val="18"/>
                <w:color w:val="auto"/>
              </w:rPr>
              <w:t>(62,806</w:t>
            </w:r>
          </w:p>
        </w:tc>
        <w:tc>
          <w:tcPr>
            <w:tcW w:w="140" w:type="dxa"/>
            <w:vAlign w:val="bottom"/>
            <w:tcBorders>
              <w:bottom w:val="single" w:sz="8" w:color="auto"/>
            </w:tcBorders>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3"/>
            <w:shd w:val="clear" w:color="auto" w:fill="D4EFF4"/>
          </w:tcPr>
          <w:p>
            <w:pPr>
              <w:spacing w:after="0"/>
              <w:rPr>
                <w:sz w:val="19"/>
                <w:szCs w:val="19"/>
                <w:color w:val="auto"/>
              </w:rPr>
            </w:pPr>
          </w:p>
        </w:tc>
        <w:tc>
          <w:tcPr>
            <w:tcW w:w="1220" w:type="dxa"/>
            <w:vAlign w:val="bottom"/>
            <w:tcBorders>
              <w:bottom w:val="single" w:sz="8" w:color="auto"/>
            </w:tcBorders>
            <w:gridSpan w:val="5"/>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D4EFF4"/>
          </w:tcPr>
          <w:p>
            <w:pPr>
              <w:spacing w:after="0"/>
              <w:rPr>
                <w:sz w:val="19"/>
                <w:szCs w:val="19"/>
                <w:color w:val="auto"/>
              </w:rPr>
            </w:pPr>
          </w:p>
        </w:tc>
        <w:tc>
          <w:tcPr>
            <w:tcW w:w="1060" w:type="dxa"/>
            <w:vAlign w:val="bottom"/>
            <w:tcBorders>
              <w:bottom w:val="single" w:sz="8" w:color="auto"/>
            </w:tcBorders>
            <w:gridSpan w:val="4"/>
            <w:shd w:val="clear" w:color="auto" w:fill="D4EFF4"/>
          </w:tcPr>
          <w:p>
            <w:pPr>
              <w:jc w:val="right"/>
              <w:ind w:right="1060"/>
              <w:spacing w:after="0"/>
              <w:rPr>
                <w:sz w:val="20"/>
                <w:szCs w:val="20"/>
                <w:color w:val="auto"/>
              </w:rPr>
            </w:pPr>
            <w:r>
              <w:rPr>
                <w:rFonts w:ascii="Times New Roman" w:cs="Times New Roman" w:eastAsia="Times New Roman" w:hAnsi="Times New Roman"/>
                <w:sz w:val="18"/>
                <w:szCs w:val="18"/>
                <w:color w:val="auto"/>
              </w:rPr>
              <w:t>(62,806</w:t>
            </w:r>
          </w:p>
        </w:tc>
        <w:tc>
          <w:tcPr>
            <w:tcW w:w="140" w:type="dxa"/>
            <w:vAlign w:val="bottom"/>
            <w:tcBorders>
              <w:bottom w:val="single" w:sz="8" w:color="auto"/>
            </w:tcBorders>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0"/>
        </w:trPr>
        <w:tc>
          <w:tcPr>
            <w:tcW w:w="3820" w:type="dxa"/>
            <w:vAlign w:val="bottom"/>
            <w:tcBorders>
              <w:bottom w:val="single" w:sz="8" w:color="D4EFF4"/>
            </w:tcBorders>
            <w:gridSpan w:val="2"/>
          </w:tcPr>
          <w:p>
            <w:pPr>
              <w:spacing w:after="0" w:line="190"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120" w:type="dxa"/>
            <w:vAlign w:val="bottom"/>
            <w:tcBorders>
              <w:bottom w:val="single" w:sz="8" w:color="D4EFF4"/>
            </w:tcBorders>
          </w:tcPr>
          <w:p>
            <w:pPr>
              <w:spacing w:after="0"/>
              <w:rPr>
                <w:sz w:val="16"/>
                <w:szCs w:val="16"/>
                <w:color w:val="auto"/>
              </w:rPr>
            </w:pPr>
          </w:p>
        </w:tc>
        <w:tc>
          <w:tcPr>
            <w:tcW w:w="1080" w:type="dxa"/>
            <w:vAlign w:val="bottom"/>
            <w:tcBorders>
              <w:bottom w:val="single" w:sz="8" w:color="D4EFF4"/>
            </w:tcBorders>
            <w:gridSpan w:val="5"/>
          </w:tcPr>
          <w:p>
            <w:pPr>
              <w:jc w:val="right"/>
              <w:ind w:right="18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860" w:type="dxa"/>
            <w:vAlign w:val="bottom"/>
            <w:tcBorders>
              <w:bottom w:val="single" w:sz="8" w:color="D4EFF4"/>
            </w:tcBorders>
            <w:gridSpan w:val="5"/>
          </w:tcPr>
          <w:p>
            <w:pPr>
              <w:jc w:val="right"/>
              <w:ind w:right="18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4EFF4"/>
              <w:right w:val="single" w:sz="8" w:color="auto"/>
            </w:tcBorders>
          </w:tcPr>
          <w:p>
            <w:pPr>
              <w:spacing w:after="0"/>
              <w:rPr>
                <w:sz w:val="16"/>
                <w:szCs w:val="16"/>
                <w:color w:val="auto"/>
              </w:rPr>
            </w:pPr>
          </w:p>
        </w:tc>
        <w:tc>
          <w:tcPr>
            <w:tcW w:w="1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20" w:type="dxa"/>
            <w:vAlign w:val="bottom"/>
            <w:tcBorders>
              <w:bottom w:val="single" w:sz="8" w:color="D4EFF4"/>
            </w:tcBorders>
            <w:gridSpan w:val="4"/>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53,603,398</w:t>
            </w:r>
          </w:p>
        </w:tc>
        <w:tc>
          <w:tcPr>
            <w:tcW w:w="14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640" w:type="dxa"/>
            <w:vAlign w:val="bottom"/>
            <w:tcBorders>
              <w:bottom w:val="single" w:sz="8" w:color="D4EFF4"/>
            </w:tcBorders>
          </w:tcPr>
          <w:p>
            <w:pPr>
              <w:spacing w:after="0"/>
              <w:rPr>
                <w:sz w:val="16"/>
                <w:szCs w:val="16"/>
                <w:color w:val="auto"/>
              </w:rPr>
            </w:pPr>
          </w:p>
        </w:tc>
        <w:tc>
          <w:tcPr>
            <w:tcW w:w="220" w:type="dxa"/>
            <w:vAlign w:val="bottom"/>
            <w:tcBorders>
              <w:bottom w:val="single" w:sz="8" w:color="D4EFF4"/>
            </w:tcBorders>
            <w:gridSpan w:val="2"/>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w w:val="99"/>
              </w:rPr>
              <w:t>53</w:t>
            </w: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D4EFF4"/>
            </w:tcBorders>
          </w:tcPr>
          <w:p>
            <w:pPr>
              <w:spacing w:after="0"/>
              <w:rPr>
                <w:sz w:val="16"/>
                <w:szCs w:val="16"/>
                <w:color w:val="auto"/>
              </w:rPr>
            </w:pPr>
          </w:p>
        </w:tc>
        <w:tc>
          <w:tcPr>
            <w:tcW w:w="880" w:type="dxa"/>
            <w:vAlign w:val="bottom"/>
            <w:tcBorders>
              <w:bottom w:val="single" w:sz="8" w:color="D4EFF4"/>
            </w:tcBorders>
            <w:gridSpan w:val="4"/>
          </w:tcPr>
          <w:p>
            <w:pPr>
              <w:jc w:val="right"/>
              <w:spacing w:after="0" w:line="190" w:lineRule="exact"/>
              <w:rPr>
                <w:sz w:val="20"/>
                <w:szCs w:val="20"/>
                <w:color w:val="auto"/>
              </w:rPr>
            </w:pPr>
            <w:r>
              <w:rPr>
                <w:rFonts w:ascii="Times New Roman" w:cs="Times New Roman" w:eastAsia="Times New Roman" w:hAnsi="Times New Roman"/>
                <w:sz w:val="18"/>
                <w:szCs w:val="18"/>
                <w:color w:val="auto"/>
              </w:rPr>
              <w:t>660,604</w:t>
            </w: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D4EFF4"/>
            </w:tcBorders>
          </w:tcPr>
          <w:p>
            <w:pPr>
              <w:spacing w:after="0"/>
              <w:rPr>
                <w:sz w:val="16"/>
                <w:szCs w:val="16"/>
                <w:color w:val="auto"/>
              </w:rPr>
            </w:pPr>
          </w:p>
        </w:tc>
        <w:tc>
          <w:tcPr>
            <w:tcW w:w="980" w:type="dxa"/>
            <w:vAlign w:val="bottom"/>
            <w:tcBorders>
              <w:bottom w:val="single" w:sz="8" w:color="D4EFF4"/>
            </w:tcBorders>
            <w:gridSpan w:val="4"/>
          </w:tcPr>
          <w:p>
            <w:pPr>
              <w:jc w:val="right"/>
              <w:spacing w:after="0" w:line="190" w:lineRule="exact"/>
              <w:rPr>
                <w:sz w:val="20"/>
                <w:szCs w:val="20"/>
                <w:color w:val="auto"/>
              </w:rPr>
            </w:pPr>
            <w:r>
              <w:rPr>
                <w:rFonts w:ascii="Times New Roman" w:cs="Times New Roman" w:eastAsia="Times New Roman" w:hAnsi="Times New Roman"/>
                <w:sz w:val="18"/>
                <w:szCs w:val="18"/>
                <w:color w:val="auto"/>
              </w:rPr>
              <w:t>(190,780 )</w:t>
            </w:r>
          </w:p>
        </w:tc>
        <w:tc>
          <w:tcPr>
            <w:tcW w:w="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40" w:type="dxa"/>
            <w:vAlign w:val="bottom"/>
            <w:tcBorders>
              <w:bottom w:val="single" w:sz="8" w:color="D4EFF4"/>
            </w:tcBorders>
          </w:tcPr>
          <w:p>
            <w:pPr>
              <w:spacing w:after="0"/>
              <w:rPr>
                <w:sz w:val="16"/>
                <w:szCs w:val="16"/>
                <w:color w:val="auto"/>
              </w:rPr>
            </w:pPr>
          </w:p>
        </w:tc>
        <w:tc>
          <w:tcPr>
            <w:tcW w:w="1060" w:type="dxa"/>
            <w:vAlign w:val="bottom"/>
            <w:tcBorders>
              <w:bottom w:val="single" w:sz="8" w:color="D4EFF4"/>
            </w:tcBorders>
            <w:gridSpan w:val="3"/>
          </w:tcPr>
          <w:p>
            <w:pPr>
              <w:jc w:val="right"/>
              <w:ind w:right="60"/>
              <w:spacing w:after="0" w:line="190" w:lineRule="exact"/>
              <w:rPr>
                <w:sz w:val="20"/>
                <w:szCs w:val="20"/>
                <w:color w:val="auto"/>
              </w:rPr>
            </w:pPr>
            <w:r>
              <w:rPr>
                <w:rFonts w:ascii="Times New Roman" w:cs="Times New Roman" w:eastAsia="Times New Roman" w:hAnsi="Times New Roman"/>
                <w:sz w:val="18"/>
                <w:szCs w:val="18"/>
                <w:color w:val="auto"/>
              </w:rPr>
              <w:t>(25 )</w:t>
            </w: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D4EFF4"/>
            </w:tcBorders>
          </w:tcPr>
          <w:p>
            <w:pPr>
              <w:spacing w:after="0"/>
              <w:rPr>
                <w:sz w:val="16"/>
                <w:szCs w:val="16"/>
                <w:color w:val="auto"/>
              </w:rPr>
            </w:pPr>
          </w:p>
        </w:tc>
        <w:tc>
          <w:tcPr>
            <w:tcW w:w="940" w:type="dxa"/>
            <w:vAlign w:val="bottom"/>
            <w:tcBorders>
              <w:bottom w:val="single" w:sz="8" w:color="D4EFF4"/>
            </w:tcBorders>
            <w:gridSpan w:val="3"/>
          </w:tcPr>
          <w:p>
            <w:pPr>
              <w:jc w:val="right"/>
              <w:ind w:right="20"/>
              <w:spacing w:after="0" w:line="190" w:lineRule="exact"/>
              <w:rPr>
                <w:sz w:val="20"/>
                <w:szCs w:val="20"/>
                <w:color w:val="auto"/>
              </w:rPr>
            </w:pPr>
            <w:r>
              <w:rPr>
                <w:rFonts w:ascii="Times New Roman" w:cs="Times New Roman" w:eastAsia="Times New Roman" w:hAnsi="Times New Roman"/>
                <w:sz w:val="18"/>
                <w:szCs w:val="18"/>
                <w:color w:val="auto"/>
              </w:rPr>
              <w:t>469,852</w:t>
            </w:r>
          </w:p>
        </w:tc>
        <w:tc>
          <w:tcPr>
            <w:tcW w:w="12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280" w:type="dxa"/>
            <w:vAlign w:val="bottom"/>
            <w:tcBorders>
              <w:right w:val="single" w:sz="8" w:color="auto"/>
            </w:tcBorders>
            <w:gridSpan w:val="18"/>
            <w:shd w:val="clear" w:color="auto" w:fill="D4EFF4"/>
          </w:tcPr>
          <w:p>
            <w:pPr>
              <w:spacing w:after="0" w:line="202" w:lineRule="exact"/>
              <w:rPr>
                <w:sz w:val="20"/>
                <w:szCs w:val="20"/>
                <w:color w:val="auto"/>
              </w:rPr>
            </w:pPr>
            <w:r>
              <w:rPr>
                <w:rFonts w:ascii="Times New Roman" w:cs="Times New Roman" w:eastAsia="Times New Roman" w:hAnsi="Times New Roman"/>
                <w:sz w:val="18"/>
                <w:szCs w:val="18"/>
                <w:color w:val="auto"/>
              </w:rPr>
              <w:t>Exercise of stock options, net of</w:t>
            </w:r>
          </w:p>
        </w:tc>
        <w:tc>
          <w:tcPr>
            <w:tcW w:w="7760" w:type="dxa"/>
            <w:vAlign w:val="bottom"/>
            <w:gridSpan w:val="51"/>
            <w:shd w:val="clear" w:color="auto" w:fill="D4EFF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40" w:type="dxa"/>
            <w:vAlign w:val="bottom"/>
            <w:gridSpan w:val="3"/>
            <w:shd w:val="clear" w:color="auto" w:fill="D4EFF4"/>
          </w:tcPr>
          <w:p>
            <w:pPr>
              <w:ind w:left="140"/>
              <w:spacing w:after="0"/>
              <w:rPr>
                <w:sz w:val="20"/>
                <w:szCs w:val="20"/>
                <w:color w:val="auto"/>
              </w:rPr>
            </w:pPr>
            <w:r>
              <w:rPr>
                <w:rFonts w:ascii="Times New Roman" w:cs="Times New Roman" w:eastAsia="Times New Roman" w:hAnsi="Times New Roman"/>
                <w:sz w:val="18"/>
                <w:szCs w:val="18"/>
                <w:color w:val="auto"/>
              </w:rPr>
              <w:t>tax withholding</w:t>
            </w:r>
          </w:p>
        </w:tc>
        <w:tc>
          <w:tcPr>
            <w:tcW w:w="1340" w:type="dxa"/>
            <w:vAlign w:val="bottom"/>
            <w:gridSpan w:val="9"/>
            <w:shd w:val="clear" w:color="auto" w:fill="D4EFF4"/>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6"/>
            <w:shd w:val="clear" w:color="auto" w:fill="D4EFF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14"/>
            <w:shd w:val="clear" w:color="auto" w:fill="D4EFF4"/>
          </w:tcPr>
          <w:p>
            <w:pPr>
              <w:jc w:val="right"/>
              <w:ind w:right="2115"/>
              <w:spacing w:after="0"/>
              <w:rPr>
                <w:sz w:val="20"/>
                <w:szCs w:val="20"/>
                <w:color w:val="auto"/>
              </w:rPr>
            </w:pPr>
            <w:r>
              <w:rPr>
                <w:rFonts w:ascii="Times New Roman" w:cs="Times New Roman" w:eastAsia="Times New Roman" w:hAnsi="Times New Roman"/>
                <w:sz w:val="18"/>
                <w:szCs w:val="18"/>
                <w:color w:val="auto"/>
              </w:rPr>
              <w:t>608,155</w:t>
            </w:r>
          </w:p>
        </w:tc>
        <w:tc>
          <w:tcPr>
            <w:tcW w:w="620" w:type="dxa"/>
            <w:vAlign w:val="bottom"/>
            <w:gridSpan w:val="9"/>
            <w:shd w:val="clear" w:color="auto" w:fill="D4EFF4"/>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8"/>
            <w:shd w:val="clear" w:color="auto" w:fill="D4EFF4"/>
          </w:tcPr>
          <w:p>
            <w:pPr>
              <w:jc w:val="right"/>
              <w:ind w:right="350"/>
              <w:spacing w:after="0"/>
              <w:rPr>
                <w:sz w:val="20"/>
                <w:szCs w:val="20"/>
                <w:color w:val="auto"/>
              </w:rPr>
            </w:pPr>
            <w:r>
              <w:rPr>
                <w:rFonts w:ascii="Times New Roman" w:cs="Times New Roman" w:eastAsia="Times New Roman" w:hAnsi="Times New Roman"/>
                <w:sz w:val="18"/>
                <w:szCs w:val="18"/>
                <w:color w:val="auto"/>
              </w:rPr>
              <w:t>2,278</w:t>
            </w:r>
          </w:p>
        </w:tc>
        <w:tc>
          <w:tcPr>
            <w:tcW w:w="1260" w:type="dxa"/>
            <w:vAlign w:val="bottom"/>
            <w:gridSpan w:val="8"/>
            <w:shd w:val="clear" w:color="auto" w:fill="D4EFF4"/>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8"/>
            <w:shd w:val="clear" w:color="auto" w:fill="D4EFF4"/>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D4EFF4"/>
          </w:tcPr>
          <w:p>
            <w:pPr>
              <w:jc w:val="right"/>
              <w:ind w:right="160"/>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21"/>
        </w:trPr>
        <w:tc>
          <w:tcPr>
            <w:tcW w:w="382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Borders>
              <w:bottom w:val="single" w:sz="8" w:color="D4EFF4"/>
            </w:tcBorders>
          </w:tcPr>
          <w:p>
            <w:pPr>
              <w:spacing w:after="0"/>
              <w:rPr>
                <w:sz w:val="19"/>
                <w:szCs w:val="19"/>
                <w:color w:val="auto"/>
              </w:rPr>
            </w:pPr>
          </w:p>
        </w:tc>
        <w:tc>
          <w:tcPr>
            <w:tcW w:w="1080" w:type="dxa"/>
            <w:vAlign w:val="bottom"/>
            <w:tcBorders>
              <w:bottom w:val="single" w:sz="8" w:color="D4EFF4"/>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860" w:type="dxa"/>
            <w:vAlign w:val="bottom"/>
            <w:tcBorders>
              <w:bottom w:val="single" w:sz="8" w:color="D4EFF4"/>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4EFF4"/>
              <w:right w:val="single" w:sz="8" w:color="auto"/>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60" w:type="dxa"/>
            <w:vAlign w:val="bottom"/>
            <w:tcBorders>
              <w:bottom w:val="single" w:sz="8" w:color="D4EFF4"/>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640" w:type="dxa"/>
            <w:vAlign w:val="bottom"/>
            <w:tcBorders>
              <w:bottom w:val="single" w:sz="8" w:color="D4EFF4"/>
            </w:tcBorders>
          </w:tcPr>
          <w:p>
            <w:pPr>
              <w:spacing w:after="0"/>
              <w:rPr>
                <w:sz w:val="19"/>
                <w:szCs w:val="19"/>
                <w:color w:val="auto"/>
              </w:rPr>
            </w:pPr>
          </w:p>
        </w:tc>
        <w:tc>
          <w:tcPr>
            <w:tcW w:w="36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88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98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40" w:type="dxa"/>
            <w:vAlign w:val="bottom"/>
            <w:tcBorders>
              <w:bottom w:val="single" w:sz="8" w:color="D4EFF4"/>
            </w:tcBorders>
          </w:tcPr>
          <w:p>
            <w:pPr>
              <w:spacing w:after="0"/>
              <w:rPr>
                <w:sz w:val="19"/>
                <w:szCs w:val="19"/>
                <w:color w:val="auto"/>
              </w:rPr>
            </w:pPr>
          </w:p>
        </w:tc>
        <w:tc>
          <w:tcPr>
            <w:tcW w:w="108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20" w:type="dxa"/>
            <w:vAlign w:val="bottom"/>
            <w:tcBorders>
              <w:bottom w:val="single" w:sz="8" w:color="D4EFF4"/>
            </w:tcBorders>
          </w:tcPr>
          <w:p>
            <w:pPr>
              <w:spacing w:after="0"/>
              <w:rPr>
                <w:sz w:val="19"/>
                <w:szCs w:val="19"/>
                <w:color w:val="auto"/>
              </w:rPr>
            </w:pPr>
          </w:p>
        </w:tc>
        <w:tc>
          <w:tcPr>
            <w:tcW w:w="940" w:type="dxa"/>
            <w:vAlign w:val="bottom"/>
            <w:tcBorders>
              <w:bottom w:val="single" w:sz="8" w:color="D4EFF4"/>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10,332</w:t>
            </w: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80" w:type="dxa"/>
            <w:vAlign w:val="bottom"/>
            <w:tcBorders>
              <w:right w:val="single" w:sz="8" w:color="auto"/>
            </w:tcBorders>
            <w:gridSpan w:val="18"/>
            <w:shd w:val="clear" w:color="auto" w:fill="D4EFF4"/>
          </w:tcPr>
          <w:p>
            <w:pPr>
              <w:spacing w:after="0" w:line="202"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7760" w:type="dxa"/>
            <w:vAlign w:val="bottom"/>
            <w:gridSpan w:val="51"/>
            <w:shd w:val="clear" w:color="auto" w:fill="D4EFF4"/>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40" w:type="dxa"/>
            <w:vAlign w:val="bottom"/>
            <w:gridSpan w:val="3"/>
            <w:shd w:val="clear" w:color="auto" w:fill="D4EFF4"/>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1340" w:type="dxa"/>
            <w:vAlign w:val="bottom"/>
            <w:gridSpan w:val="9"/>
            <w:shd w:val="clear" w:color="auto" w:fill="D4EFF4"/>
          </w:tcPr>
          <w:p>
            <w:pPr>
              <w:jc w:val="right"/>
              <w:ind w:right="3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auto"/>
            </w:tcBorders>
            <w:gridSpan w:val="6"/>
            <w:shd w:val="clear" w:color="auto" w:fill="D4EFF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14"/>
            <w:shd w:val="clear" w:color="auto" w:fill="D4EFF4"/>
          </w:tcPr>
          <w:p>
            <w:pPr>
              <w:jc w:val="right"/>
              <w:ind w:right="2115"/>
              <w:spacing w:after="0"/>
              <w:rPr>
                <w:sz w:val="20"/>
                <w:szCs w:val="20"/>
                <w:color w:val="auto"/>
              </w:rPr>
            </w:pPr>
            <w:r>
              <w:rPr>
                <w:rFonts w:ascii="Times New Roman" w:cs="Times New Roman" w:eastAsia="Times New Roman" w:hAnsi="Times New Roman"/>
                <w:sz w:val="18"/>
                <w:szCs w:val="18"/>
                <w:color w:val="auto"/>
              </w:rPr>
              <w:t>26,197</w:t>
            </w:r>
          </w:p>
        </w:tc>
        <w:tc>
          <w:tcPr>
            <w:tcW w:w="620" w:type="dxa"/>
            <w:vAlign w:val="bottom"/>
            <w:gridSpan w:val="9"/>
            <w:shd w:val="clear" w:color="auto" w:fill="D4EFF4"/>
          </w:tcPr>
          <w:p>
            <w:pPr>
              <w:jc w:val="right"/>
              <w:ind w:right="42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gridSpan w:val="8"/>
            <w:shd w:val="clear" w:color="auto" w:fill="D4EFF4"/>
          </w:tcPr>
          <w:p>
            <w:pPr>
              <w:jc w:val="right"/>
              <w:ind w:right="350"/>
              <w:spacing w:after="0"/>
              <w:rPr>
                <w:sz w:val="20"/>
                <w:szCs w:val="20"/>
                <w:color w:val="auto"/>
              </w:rPr>
            </w:pPr>
            <w:r>
              <w:rPr>
                <w:rFonts w:ascii="Times New Roman" w:cs="Times New Roman" w:eastAsia="Times New Roman" w:hAnsi="Times New Roman"/>
                <w:sz w:val="18"/>
                <w:szCs w:val="18"/>
                <w:color w:val="auto"/>
              </w:rPr>
              <w:t>196</w:t>
            </w:r>
          </w:p>
        </w:tc>
        <w:tc>
          <w:tcPr>
            <w:tcW w:w="1260" w:type="dxa"/>
            <w:vAlign w:val="bottom"/>
            <w:gridSpan w:val="8"/>
            <w:shd w:val="clear" w:color="auto" w:fill="D4EFF4"/>
          </w:tcPr>
          <w:p>
            <w:pPr>
              <w:jc w:val="right"/>
              <w:ind w:right="354"/>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8"/>
            <w:shd w:val="clear" w:color="auto" w:fill="D4EFF4"/>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4"/>
            <w:shd w:val="clear" w:color="auto" w:fill="D4EFF4"/>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82"/>
        </w:trPr>
        <w:tc>
          <w:tcPr>
            <w:tcW w:w="6280" w:type="dxa"/>
            <w:vAlign w:val="bottom"/>
            <w:tcBorders>
              <w:right w:val="single" w:sz="8" w:color="auto"/>
            </w:tcBorders>
            <w:gridSpan w:val="18"/>
          </w:tcPr>
          <w:p>
            <w:pPr>
              <w:spacing w:after="0" w:line="182" w:lineRule="exact"/>
              <w:rPr>
                <w:sz w:val="20"/>
                <w:szCs w:val="20"/>
                <w:color w:val="auto"/>
              </w:rPr>
            </w:pPr>
            <w:r>
              <w:rPr>
                <w:rFonts w:ascii="Times New Roman" w:cs="Times New Roman" w:eastAsia="Times New Roman" w:hAnsi="Times New Roman"/>
                <w:sz w:val="18"/>
                <w:szCs w:val="18"/>
                <w:color w:val="auto"/>
              </w:rPr>
              <w:t>Unrealized gain on available-for-sale</w:t>
            </w:r>
          </w:p>
        </w:tc>
        <w:tc>
          <w:tcPr>
            <w:tcW w:w="7760" w:type="dxa"/>
            <w:vAlign w:val="bottom"/>
            <w:gridSpan w:val="51"/>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820" w:type="dxa"/>
            <w:vAlign w:val="bottom"/>
            <w:tcBorders>
              <w:bottom w:val="single" w:sz="8" w:color="D4EFF4"/>
            </w:tcBorders>
            <w:gridSpan w:val="2"/>
          </w:tcPr>
          <w:p>
            <w:pPr>
              <w:ind w:left="140"/>
              <w:spacing w:after="0"/>
              <w:rPr>
                <w:sz w:val="20"/>
                <w:szCs w:val="20"/>
                <w:color w:val="auto"/>
              </w:rPr>
            </w:pPr>
            <w:r>
              <w:rPr>
                <w:rFonts w:ascii="Times New Roman" w:cs="Times New Roman" w:eastAsia="Times New Roman" w:hAnsi="Times New Roman"/>
                <w:sz w:val="18"/>
                <w:szCs w:val="18"/>
                <w:color w:val="auto"/>
              </w:rPr>
              <w:t>securities, net of tax</w:t>
            </w:r>
          </w:p>
        </w:tc>
        <w:tc>
          <w:tcPr>
            <w:tcW w:w="120" w:type="dxa"/>
            <w:vAlign w:val="bottom"/>
            <w:tcBorders>
              <w:bottom w:val="single" w:sz="8" w:color="D4EFF4"/>
            </w:tcBorders>
          </w:tcPr>
          <w:p>
            <w:pPr>
              <w:spacing w:after="0"/>
              <w:rPr>
                <w:sz w:val="20"/>
                <w:szCs w:val="20"/>
                <w:color w:val="auto"/>
              </w:rPr>
            </w:pPr>
          </w:p>
        </w:tc>
        <w:tc>
          <w:tcPr>
            <w:tcW w:w="1080" w:type="dxa"/>
            <w:vAlign w:val="bottom"/>
            <w:tcBorders>
              <w:bottom w:val="single" w:sz="8" w:color="D4EFF4"/>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860" w:type="dxa"/>
            <w:vAlign w:val="bottom"/>
            <w:tcBorders>
              <w:bottom w:val="single" w:sz="8" w:color="D4EFF4"/>
            </w:tcBorders>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D4EFF4"/>
              <w:right w:val="single" w:sz="8" w:color="auto"/>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60" w:type="dxa"/>
            <w:vAlign w:val="bottom"/>
            <w:tcBorders>
              <w:bottom w:val="single" w:sz="8" w:color="D4EFF4"/>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640" w:type="dxa"/>
            <w:vAlign w:val="bottom"/>
            <w:tcBorders>
              <w:bottom w:val="single" w:sz="8" w:color="D4EFF4"/>
            </w:tcBorders>
          </w:tcPr>
          <w:p>
            <w:pPr>
              <w:spacing w:after="0"/>
              <w:rPr>
                <w:sz w:val="20"/>
                <w:szCs w:val="20"/>
                <w:color w:val="auto"/>
              </w:rPr>
            </w:pPr>
          </w:p>
        </w:tc>
        <w:tc>
          <w:tcPr>
            <w:tcW w:w="36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980" w:type="dxa"/>
            <w:vAlign w:val="bottom"/>
            <w:tcBorders>
              <w:bottom w:val="single" w:sz="8" w:color="D4EFF4"/>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980" w:type="dxa"/>
            <w:vAlign w:val="bottom"/>
            <w:tcBorders>
              <w:bottom w:val="single" w:sz="8" w:color="D4EFF4"/>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40" w:type="dxa"/>
            <w:vAlign w:val="bottom"/>
            <w:tcBorders>
              <w:bottom w:val="single" w:sz="8" w:color="D4EFF4"/>
            </w:tcBorders>
          </w:tcPr>
          <w:p>
            <w:pPr>
              <w:spacing w:after="0"/>
              <w:rPr>
                <w:sz w:val="20"/>
                <w:szCs w:val="20"/>
                <w:color w:val="auto"/>
              </w:rPr>
            </w:pPr>
          </w:p>
        </w:tc>
        <w:tc>
          <w:tcPr>
            <w:tcW w:w="9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9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2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auto"/>
            </w:tcBorders>
            <w:gridSpan w:val="6"/>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D4EFF4"/>
          </w:tcPr>
          <w:p>
            <w:pPr>
              <w:spacing w:after="0"/>
              <w:rPr>
                <w:sz w:val="17"/>
                <w:szCs w:val="17"/>
                <w:color w:val="auto"/>
              </w:rPr>
            </w:pPr>
          </w:p>
        </w:tc>
        <w:tc>
          <w:tcPr>
            <w:tcW w:w="1000" w:type="dxa"/>
            <w:vAlign w:val="bottom"/>
            <w:tcBorders>
              <w:bottom w:val="single" w:sz="8" w:color="auto"/>
            </w:tcBorders>
            <w:gridSpan w:val="7"/>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shd w:val="clear" w:color="auto" w:fill="D4EFF4"/>
          </w:tcPr>
          <w:p>
            <w:pPr>
              <w:spacing w:after="0"/>
              <w:rPr>
                <w:sz w:val="17"/>
                <w:szCs w:val="17"/>
                <w:color w:val="auto"/>
              </w:rPr>
            </w:pPr>
          </w:p>
        </w:tc>
        <w:tc>
          <w:tcPr>
            <w:tcW w:w="140" w:type="dxa"/>
            <w:vAlign w:val="bottom"/>
            <w:gridSpan w:val="3"/>
            <w:shd w:val="clear" w:color="auto" w:fill="D4EFF4"/>
          </w:tcPr>
          <w:p>
            <w:pPr>
              <w:spacing w:after="0"/>
              <w:rPr>
                <w:sz w:val="17"/>
                <w:szCs w:val="17"/>
                <w:color w:val="auto"/>
              </w:rPr>
            </w:pPr>
          </w:p>
        </w:tc>
        <w:tc>
          <w:tcPr>
            <w:tcW w:w="1160" w:type="dxa"/>
            <w:vAlign w:val="bottom"/>
            <w:tcBorders>
              <w:bottom w:val="single" w:sz="8" w:color="auto"/>
            </w:tcBorders>
            <w:gridSpan w:val="5"/>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3"/>
            <w:shd w:val="clear" w:color="auto" w:fill="D4EFF4"/>
          </w:tcPr>
          <w:p>
            <w:pPr>
              <w:spacing w:after="0"/>
              <w:rPr>
                <w:sz w:val="17"/>
                <w:szCs w:val="17"/>
                <w:color w:val="auto"/>
              </w:rPr>
            </w:pPr>
          </w:p>
        </w:tc>
        <w:tc>
          <w:tcPr>
            <w:tcW w:w="1120" w:type="dxa"/>
            <w:vAlign w:val="bottom"/>
            <w:tcBorders>
              <w:bottom w:val="single" w:sz="8" w:color="auto"/>
            </w:tcBorders>
            <w:gridSpan w:val="7"/>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D4EFF4"/>
          </w:tcPr>
          <w:p>
            <w:pPr>
              <w:spacing w:after="0"/>
              <w:rPr>
                <w:sz w:val="17"/>
                <w:szCs w:val="17"/>
                <w:color w:val="auto"/>
              </w:rPr>
            </w:pPr>
          </w:p>
        </w:tc>
        <w:tc>
          <w:tcPr>
            <w:tcW w:w="1120" w:type="dxa"/>
            <w:vAlign w:val="bottom"/>
            <w:tcBorders>
              <w:bottom w:val="single" w:sz="8" w:color="auto"/>
            </w:tcBorders>
            <w:gridSpan w:val="7"/>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D4EFF4"/>
          </w:tcPr>
          <w:p>
            <w:pPr>
              <w:spacing w:after="0"/>
              <w:rPr>
                <w:sz w:val="17"/>
                <w:szCs w:val="17"/>
                <w:color w:val="auto"/>
              </w:rPr>
            </w:pPr>
          </w:p>
        </w:tc>
        <w:tc>
          <w:tcPr>
            <w:tcW w:w="980" w:type="dxa"/>
            <w:vAlign w:val="bottom"/>
            <w:tcBorders>
              <w:bottom w:val="single" w:sz="8" w:color="auto"/>
            </w:tcBorders>
            <w:gridSpan w:val="4"/>
            <w:shd w:val="clear" w:color="auto" w:fill="D4EFF4"/>
          </w:tcPr>
          <w:p>
            <w:pPr>
              <w:jc w:val="right"/>
              <w:ind w:right="980"/>
              <w:spacing w:after="0"/>
              <w:rPr>
                <w:sz w:val="20"/>
                <w:szCs w:val="20"/>
                <w:color w:val="auto"/>
              </w:rPr>
            </w:pPr>
            <w:r>
              <w:rPr>
                <w:rFonts w:ascii="Times New Roman" w:cs="Times New Roman" w:eastAsia="Times New Roman" w:hAnsi="Times New Roman"/>
                <w:sz w:val="18"/>
                <w:szCs w:val="18"/>
                <w:color w:val="auto"/>
              </w:rPr>
              <w:t>(143,443</w:t>
            </w:r>
          </w:p>
        </w:tc>
        <w:tc>
          <w:tcPr>
            <w:tcW w:w="140" w:type="dxa"/>
            <w:vAlign w:val="bottom"/>
            <w:tcBorders>
              <w:bottom w:val="single" w:sz="8" w:color="auto"/>
            </w:tcBorders>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gridSpan w:val="3"/>
            <w:shd w:val="clear" w:color="auto" w:fill="D4EFF4"/>
          </w:tcPr>
          <w:p>
            <w:pPr>
              <w:spacing w:after="0"/>
              <w:rPr>
                <w:sz w:val="17"/>
                <w:szCs w:val="17"/>
                <w:color w:val="auto"/>
              </w:rPr>
            </w:pPr>
          </w:p>
        </w:tc>
        <w:tc>
          <w:tcPr>
            <w:tcW w:w="1220" w:type="dxa"/>
            <w:vAlign w:val="bottom"/>
            <w:tcBorders>
              <w:bottom w:val="single" w:sz="8" w:color="auto"/>
            </w:tcBorders>
            <w:gridSpan w:val="5"/>
            <w:shd w:val="clear" w:color="auto" w:fill="D4EFF4"/>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D4EFF4"/>
          </w:tcPr>
          <w:p>
            <w:pPr>
              <w:spacing w:after="0"/>
              <w:rPr>
                <w:sz w:val="17"/>
                <w:szCs w:val="17"/>
                <w:color w:val="auto"/>
              </w:rPr>
            </w:pPr>
          </w:p>
        </w:tc>
        <w:tc>
          <w:tcPr>
            <w:tcW w:w="1060" w:type="dxa"/>
            <w:vAlign w:val="bottom"/>
            <w:tcBorders>
              <w:bottom w:val="single" w:sz="8" w:color="auto"/>
            </w:tcBorders>
            <w:gridSpan w:val="4"/>
            <w:shd w:val="clear" w:color="auto" w:fill="D4EFF4"/>
          </w:tcPr>
          <w:p>
            <w:pPr>
              <w:jc w:val="right"/>
              <w:ind w:right="1060"/>
              <w:spacing w:after="0"/>
              <w:rPr>
                <w:sz w:val="20"/>
                <w:szCs w:val="20"/>
                <w:color w:val="auto"/>
              </w:rPr>
            </w:pPr>
            <w:r>
              <w:rPr>
                <w:rFonts w:ascii="Times New Roman" w:cs="Times New Roman" w:eastAsia="Times New Roman" w:hAnsi="Times New Roman"/>
                <w:sz w:val="18"/>
                <w:szCs w:val="18"/>
                <w:color w:val="auto"/>
              </w:rPr>
              <w:t>(143,443</w:t>
            </w:r>
          </w:p>
        </w:tc>
        <w:tc>
          <w:tcPr>
            <w:tcW w:w="140" w:type="dxa"/>
            <w:vAlign w:val="bottom"/>
            <w:tcBorders>
              <w:bottom w:val="single" w:sz="8" w:color="auto"/>
            </w:tcBorders>
            <w:gridSpan w:val="2"/>
            <w:shd w:val="clear" w:color="auto" w:fill="D4EFF4"/>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3"/>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120" w:type="dxa"/>
            <w:vAlign w:val="bottom"/>
          </w:tcPr>
          <w:p>
            <w:pPr>
              <w:spacing w:after="0"/>
              <w:rPr>
                <w:sz w:val="18"/>
                <w:szCs w:val="18"/>
                <w:color w:val="auto"/>
              </w:rPr>
            </w:pPr>
          </w:p>
        </w:tc>
        <w:tc>
          <w:tcPr>
            <w:tcW w:w="108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86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54,237,750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54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673,410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(334,223 )</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339,771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200" w:type="dxa"/>
            <w:vAlign w:val="bottom"/>
            <w:tcBorders>
              <w:top w:val="single" w:sz="8" w:color="auto"/>
              <w:bottom w:val="single" w:sz="8" w:color="auto"/>
            </w:tcBorders>
            <w:gridSpan w:val="7"/>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7"/>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3880485</wp:posOffset>
                </wp:positionH>
                <wp:positionV relativeFrom="paragraph">
                  <wp:posOffset>-3839210</wp:posOffset>
                </wp:positionV>
                <wp:extent cx="17399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99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302.2999pt" to="319.25pt,-302.2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2419985</wp:posOffset>
                </wp:positionH>
                <wp:positionV relativeFrom="paragraph">
                  <wp:posOffset>-3587115</wp:posOffset>
                </wp:positionV>
                <wp:extent cx="752475" cy="0"/>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59" o:spid="_x0000_s10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55pt,-282.4499pt" to="249.8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3259455</wp:posOffset>
                </wp:positionH>
                <wp:positionV relativeFrom="paragraph">
                  <wp:posOffset>-3587115</wp:posOffset>
                </wp:positionV>
                <wp:extent cx="621030" cy="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0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0" o:spid="_x0000_s10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65pt,-282.4499pt" to="305.55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-3590290</wp:posOffset>
                </wp:positionV>
                <wp:extent cx="83820" cy="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282.6999pt" to="312.15pt,-282.6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-3590290</wp:posOffset>
                </wp:positionV>
                <wp:extent cx="83820" cy="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4763"/>
                        </a:xfrm>
                        <a:prstGeom prst="line">
                          <a:avLst/>
                        </a:prstGeom>
                        <a:solidFill>
                          <a:srgbClr val="FFFFFF"/>
                        </a:solidFill>
                        <a:ln w="15239">
                          <a:solidFill>
                            <a:srgbClr val="FFFFFF"/>
                          </a:solidFill>
                          <a:miter lim="800000"/>
                          <a:headEnd/>
                          <a:tailEnd/>
                        </a:ln>
                      </wps:spPr>
                      <wps:bodyPr/>
                    </wps:wsp>
                  </a:graphicData>
                </a:graphic>
              </wp:anchor>
            </w:drawing>
          </mc:Choice>
          <mc:Fallback>
            <w:pict>
              <v:line id="Shape 62" o:spid="_x0000_s10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282.6999pt" to="319.25pt,-282.6999pt" o:allowincell="f" strokecolor="#FFFFFF" strokeweight="1.1999pt"/>
            </w:pict>
          </mc:Fallback>
        </mc:AlternateContent>
        <mc:AlternateContent>
          <mc:Choice Requires="wps">
            <w:drawing>
              <wp:anchor simplePos="0" relativeHeight="251657728" behindDoc="1" locked="0" layoutInCell="0" allowOverlap="1">
                <wp:simplePos x="0" y="0"/>
                <wp:positionH relativeFrom="column">
                  <wp:posOffset>4054475</wp:posOffset>
                </wp:positionH>
                <wp:positionV relativeFrom="paragraph">
                  <wp:posOffset>-3587115</wp:posOffset>
                </wp:positionV>
                <wp:extent cx="752475" cy="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3" o:spid="_x0000_s10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25pt,-282.4499pt" to="378.5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4893945</wp:posOffset>
                </wp:positionH>
                <wp:positionV relativeFrom="paragraph">
                  <wp:posOffset>-3587115</wp:posOffset>
                </wp:positionV>
                <wp:extent cx="709295"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2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35pt,-282.4499pt" to="441.2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5690870</wp:posOffset>
                </wp:positionH>
                <wp:positionV relativeFrom="paragraph">
                  <wp:posOffset>-3587115</wp:posOffset>
                </wp:positionV>
                <wp:extent cx="70993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9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1pt,-282.4499pt" to="504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6487160</wp:posOffset>
                </wp:positionH>
                <wp:positionV relativeFrom="paragraph">
                  <wp:posOffset>-3587115</wp:posOffset>
                </wp:positionV>
                <wp:extent cx="71056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05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8pt,-282.4499pt" to="566.75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7285355</wp:posOffset>
                </wp:positionH>
                <wp:positionV relativeFrom="paragraph">
                  <wp:posOffset>-3587115</wp:posOffset>
                </wp:positionV>
                <wp:extent cx="77406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0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65pt,-282.4499pt" to="634.6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8147050</wp:posOffset>
                </wp:positionH>
                <wp:positionV relativeFrom="paragraph">
                  <wp:posOffset>-3587115</wp:posOffset>
                </wp:positionV>
                <wp:extent cx="76327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3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1.5pt,-282.4499pt" to="701.6pt,-282.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-2912110</wp:posOffset>
                </wp:positionV>
                <wp:extent cx="4939665" cy="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96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69" o:spid="_x0000_s10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229.2999pt" to="701.6pt,-229.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-2105660</wp:posOffset>
                </wp:positionV>
                <wp:extent cx="493966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96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165.7999pt" to="701.6pt,-165.7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-1825625</wp:posOffset>
                </wp:positionV>
                <wp:extent cx="493966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96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143.7499pt" to="701.6pt,-143.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-1410335</wp:posOffset>
                </wp:positionV>
                <wp:extent cx="8382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111.0499pt" to="312.15pt,-111.0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-1410335</wp:posOffset>
                </wp:positionV>
                <wp:extent cx="8382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111.0499pt" to="319.25pt,-111.0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-995045</wp:posOffset>
                </wp:positionV>
                <wp:extent cx="493966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96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78.3499pt" to="701.6pt,-78.3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-582295</wp:posOffset>
                </wp:positionV>
                <wp:extent cx="493966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396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45.8499pt" to="701.6pt,-45.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2419985</wp:posOffset>
                </wp:positionH>
                <wp:positionV relativeFrom="paragraph">
                  <wp:posOffset>-164465</wp:posOffset>
                </wp:positionV>
                <wp:extent cx="75247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55pt,-12.9499pt" to="249.8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3259455</wp:posOffset>
                </wp:positionH>
                <wp:positionV relativeFrom="paragraph">
                  <wp:posOffset>-164465</wp:posOffset>
                </wp:positionV>
                <wp:extent cx="62103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10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6.65pt,-12.9499pt" to="305.55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3880485</wp:posOffset>
                </wp:positionH>
                <wp:positionV relativeFrom="paragraph">
                  <wp:posOffset>-167005</wp:posOffset>
                </wp:positionV>
                <wp:extent cx="83820"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5.55pt,-13.1499pt" to="312.15pt,-13.1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3970655</wp:posOffset>
                </wp:positionH>
                <wp:positionV relativeFrom="paragraph">
                  <wp:posOffset>-167005</wp:posOffset>
                </wp:positionV>
                <wp:extent cx="8382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3820" cy="4763"/>
                        </a:xfrm>
                        <a:prstGeom prst="line">
                          <a:avLst/>
                        </a:prstGeom>
                        <a:solidFill>
                          <a:srgbClr val="FFFFFF"/>
                        </a:solidFill>
                        <a:ln w="15240">
                          <a:solidFill>
                            <a:srgbClr val="FFFFFF"/>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2.65pt,-13.1499pt" to="319.25pt,-13.1499pt" o:allowincell="f" strokecolor="#FFFFFF" strokeweight="1.2pt"/>
            </w:pict>
          </mc:Fallback>
        </mc:AlternateContent>
        <mc:AlternateContent>
          <mc:Choice Requires="wps">
            <w:drawing>
              <wp:anchor simplePos="0" relativeHeight="251657728" behindDoc="1" locked="0" layoutInCell="0" allowOverlap="1">
                <wp:simplePos x="0" y="0"/>
                <wp:positionH relativeFrom="column">
                  <wp:posOffset>4054475</wp:posOffset>
                </wp:positionH>
                <wp:positionV relativeFrom="paragraph">
                  <wp:posOffset>-164465</wp:posOffset>
                </wp:positionV>
                <wp:extent cx="752475"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524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19.25pt,-12.9499pt" to="378.5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4893945</wp:posOffset>
                </wp:positionH>
                <wp:positionV relativeFrom="paragraph">
                  <wp:posOffset>-164465</wp:posOffset>
                </wp:positionV>
                <wp:extent cx="70929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2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35pt,-12.9499pt" to="441.2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5690870</wp:posOffset>
                </wp:positionH>
                <wp:positionV relativeFrom="paragraph">
                  <wp:posOffset>-164465</wp:posOffset>
                </wp:positionV>
                <wp:extent cx="70993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99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8.1pt,-12.9499pt" to="504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6487160</wp:posOffset>
                </wp:positionH>
                <wp:positionV relativeFrom="paragraph">
                  <wp:posOffset>-164465</wp:posOffset>
                </wp:positionV>
                <wp:extent cx="710565"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05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0.8pt,-12.9499pt" to="566.75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7285355</wp:posOffset>
                </wp:positionH>
                <wp:positionV relativeFrom="paragraph">
                  <wp:posOffset>-164465</wp:posOffset>
                </wp:positionV>
                <wp:extent cx="774065"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40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73.65pt,-12.9499pt" to="634.6pt,-12.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8147050</wp:posOffset>
                </wp:positionH>
                <wp:positionV relativeFrom="paragraph">
                  <wp:posOffset>-164465</wp:posOffset>
                </wp:positionV>
                <wp:extent cx="763270" cy="0"/>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327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41.5pt,-12.9499pt" to="701.6pt,-12.9499pt" o:allowincell="f" strokecolor="#FFFFFF" strokeweight="0.72pt"/>
            </w:pict>
          </mc:Fallback>
        </mc:AlternateConten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5840" w:h="12240" w:orient="landscape"/>
          <w:cols w:equalWidth="0" w:num="1">
            <w:col w:w="14040"/>
          </w:cols>
          <w:pgMar w:left="900" w:top="893" w:right="900" w:bottom="207"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6900" w:type="dxa"/>
            <w:vAlign w:val="bottom"/>
            <w:tcBorders>
              <w:bottom w:val="single" w:sz="8" w:color="D4EFF4"/>
            </w:tcBorders>
          </w:tcPr>
          <w:p>
            <w:pPr>
              <w:spacing w:after="0"/>
              <w:rPr>
                <w:sz w:val="16"/>
                <w:szCs w:val="16"/>
                <w:color w:val="auto"/>
              </w:rPr>
            </w:pPr>
          </w:p>
        </w:tc>
        <w:tc>
          <w:tcPr>
            <w:tcW w:w="180" w:type="dxa"/>
            <w:vAlign w:val="bottom"/>
            <w:tcBorders>
              <w:bottom w:val="single" w:sz="8" w:color="D4EF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D4EF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6"/>
                <w:szCs w:val="16"/>
                <w:color w:val="auto"/>
              </w:rPr>
            </w:pPr>
          </w:p>
        </w:tc>
      </w:tr>
      <w:tr>
        <w:trPr>
          <w:trHeight w:val="224"/>
        </w:trPr>
        <w:tc>
          <w:tcPr>
            <w:tcW w:w="690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69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(143,443 )</w:t>
            </w:r>
          </w:p>
        </w:tc>
        <w:tc>
          <w:tcPr>
            <w:tcW w:w="3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(62,806</w:t>
            </w:r>
          </w:p>
        </w:tc>
        <w:tc>
          <w:tcPr>
            <w:tcW w:w="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r>
      <w:tr>
        <w:trPr>
          <w:trHeight w:val="225"/>
        </w:trPr>
        <w:tc>
          <w:tcPr>
            <w:tcW w:w="690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Depreciation and amortization expense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c>
          <w:tcPr>
            <w:tcW w:w="120" w:type="dxa"/>
            <w:vAlign w:val="bottom"/>
          </w:tcPr>
          <w:p>
            <w:pPr>
              <w:spacing w:after="0"/>
              <w:rPr>
                <w:sz w:val="21"/>
                <w:szCs w:val="21"/>
                <w:color w:val="auto"/>
              </w:rPr>
            </w:pPr>
          </w:p>
        </w:tc>
      </w:tr>
      <w:tr>
        <w:trPr>
          <w:trHeight w:val="244"/>
        </w:trPr>
        <w:tc>
          <w:tcPr>
            <w:tcW w:w="69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10,332</w:t>
            </w:r>
          </w:p>
        </w:tc>
        <w:tc>
          <w:tcPr>
            <w:tcW w:w="10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6,004</w:t>
            </w:r>
          </w:p>
        </w:tc>
        <w:tc>
          <w:tcPr>
            <w:tcW w:w="120" w:type="dxa"/>
            <w:vAlign w:val="bottom"/>
            <w:shd w:val="clear" w:color="auto" w:fill="D4EFF4"/>
          </w:tcPr>
          <w:p>
            <w:pPr>
              <w:spacing w:after="0"/>
              <w:rPr>
                <w:sz w:val="21"/>
                <w:szCs w:val="21"/>
                <w:color w:val="auto"/>
              </w:rPr>
            </w:pPr>
          </w:p>
        </w:tc>
      </w:tr>
      <w:tr>
        <w:trPr>
          <w:trHeight w:val="244"/>
        </w:trPr>
        <w:tc>
          <w:tcPr>
            <w:tcW w:w="6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Change in fair value of preferred stock tranche right liability</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(2,859 )</w:t>
            </w:r>
          </w:p>
        </w:tc>
      </w:tr>
      <w:tr>
        <w:trPr>
          <w:trHeight w:val="245"/>
        </w:trPr>
        <w:tc>
          <w:tcPr>
            <w:tcW w:w="69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amortization of premiums and accretion of discounts on short-term</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r>
      <w:tr>
        <w:trPr>
          <w:trHeight w:val="229"/>
        </w:trPr>
        <w:tc>
          <w:tcPr>
            <w:tcW w:w="690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investments</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(1,502</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(1,655</w:t>
            </w: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45"/>
        </w:trPr>
        <w:tc>
          <w:tcPr>
            <w:tcW w:w="69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Non-cash lease expense</w:t>
            </w:r>
          </w:p>
        </w:tc>
        <w:tc>
          <w:tcPr>
            <w:tcW w:w="18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3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00" w:type="dxa"/>
            <w:vAlign w:val="bottom"/>
            <w:tcBorders>
              <w:bottom w:val="single" w:sz="8" w:color="D4EFF4"/>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3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182</w:t>
            </w:r>
          </w:p>
        </w:tc>
        <w:tc>
          <w:tcPr>
            <w:tcW w:w="120" w:type="dxa"/>
            <w:vAlign w:val="bottom"/>
            <w:tcBorders>
              <w:bottom w:val="single" w:sz="8" w:color="D4EFF4"/>
            </w:tcBorders>
          </w:tcPr>
          <w:p>
            <w:pPr>
              <w:spacing w:after="0"/>
              <w:rPr>
                <w:sz w:val="21"/>
                <w:szCs w:val="21"/>
                <w:color w:val="auto"/>
              </w:rPr>
            </w:pPr>
          </w:p>
        </w:tc>
      </w:tr>
      <w:tr>
        <w:trPr>
          <w:trHeight w:val="224"/>
        </w:trPr>
        <w:tc>
          <w:tcPr>
            <w:tcW w:w="690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receivable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w:t>
            </w:r>
          </w:p>
        </w:tc>
      </w:tr>
      <w:tr>
        <w:trPr>
          <w:trHeight w:val="245"/>
        </w:trPr>
        <w:tc>
          <w:tcPr>
            <w:tcW w:w="690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Prepaid expenses and other assets</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(1,008</w:t>
            </w: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44"/>
        </w:trPr>
        <w:tc>
          <w:tcPr>
            <w:tcW w:w="69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(1,281</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2,017</w:t>
            </w:r>
          </w:p>
        </w:tc>
        <w:tc>
          <w:tcPr>
            <w:tcW w:w="120" w:type="dxa"/>
            <w:vAlign w:val="bottom"/>
          </w:tcPr>
          <w:p>
            <w:pPr>
              <w:spacing w:after="0"/>
              <w:rPr>
                <w:sz w:val="21"/>
                <w:szCs w:val="21"/>
                <w:color w:val="auto"/>
              </w:rPr>
            </w:pPr>
          </w:p>
        </w:tc>
      </w:tr>
      <w:tr>
        <w:trPr>
          <w:trHeight w:val="244"/>
        </w:trPr>
        <w:tc>
          <w:tcPr>
            <w:tcW w:w="6900" w:type="dxa"/>
            <w:vAlign w:val="bottom"/>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4,014</w:t>
            </w:r>
          </w:p>
        </w:tc>
        <w:tc>
          <w:tcPr>
            <w:tcW w:w="10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1,512</w:t>
            </w:r>
          </w:p>
        </w:tc>
        <w:tc>
          <w:tcPr>
            <w:tcW w:w="120" w:type="dxa"/>
            <w:vAlign w:val="bottom"/>
            <w:shd w:val="clear" w:color="auto" w:fill="D4EFF4"/>
          </w:tcPr>
          <w:p>
            <w:pPr>
              <w:spacing w:after="0"/>
              <w:rPr>
                <w:sz w:val="21"/>
                <w:szCs w:val="21"/>
                <w:color w:val="auto"/>
              </w:rPr>
            </w:pPr>
          </w:p>
        </w:tc>
      </w:tr>
      <w:tr>
        <w:trPr>
          <w:trHeight w:val="245"/>
        </w:trPr>
        <w:tc>
          <w:tcPr>
            <w:tcW w:w="690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8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8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r>
      <w:tr>
        <w:trPr>
          <w:trHeight w:val="254"/>
        </w:trPr>
        <w:tc>
          <w:tcPr>
            <w:tcW w:w="69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8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(133,275</w:t>
            </w: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(59,172</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13"/>
        </w:trPr>
        <w:tc>
          <w:tcPr>
            <w:tcW w:w="6900" w:type="dxa"/>
            <w:vAlign w:val="bottom"/>
          </w:tcPr>
          <w:p>
            <w:pPr>
              <w:spacing w:after="0" w:line="213"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Purchases of short-term investments</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(385,878</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(290,609</w:t>
            </w: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Maturities of short-term investments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292,563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231,635</w:t>
            </w:r>
          </w:p>
        </w:tc>
        <w:tc>
          <w:tcPr>
            <w:tcW w:w="120" w:type="dxa"/>
            <w:vAlign w:val="bottom"/>
          </w:tcPr>
          <w:p>
            <w:pPr>
              <w:spacing w:after="0"/>
              <w:rPr>
                <w:sz w:val="21"/>
                <w:szCs w:val="21"/>
                <w:color w:val="auto"/>
              </w:rPr>
            </w:pP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Purchases of equipment</w:t>
            </w:r>
          </w:p>
        </w:tc>
        <w:tc>
          <w:tcPr>
            <w:tcW w:w="18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18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(511</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38"/>
        </w:trPr>
        <w:tc>
          <w:tcPr>
            <w:tcW w:w="69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Net cash used in investing activities</w:t>
            </w:r>
          </w:p>
        </w:tc>
        <w:tc>
          <w:tcPr>
            <w:tcW w:w="18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(93,480 )</w:t>
            </w:r>
          </w:p>
        </w:tc>
        <w:tc>
          <w:tcPr>
            <w:tcW w:w="18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(59,485 )</w:t>
            </w:r>
          </w:p>
        </w:tc>
      </w:tr>
      <w:tr>
        <w:trPr>
          <w:trHeight w:val="229"/>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Proceeds from the issuance of Series B redeemable convertible preferred stock, net of</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9"/>
        </w:trPr>
        <w:tc>
          <w:tcPr>
            <w:tcW w:w="69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issuance costs paid</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149,924</w:t>
            </w:r>
          </w:p>
        </w:tc>
        <w:tc>
          <w:tcPr>
            <w:tcW w:w="120" w:type="dxa"/>
            <w:vAlign w:val="bottom"/>
          </w:tcPr>
          <w:p>
            <w:pPr>
              <w:spacing w:after="0"/>
              <w:rPr>
                <w:sz w:val="19"/>
                <w:szCs w:val="19"/>
                <w:color w:val="auto"/>
              </w:rPr>
            </w:pP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Proceeds from initial public offering, net of underwriters discounts and commissions</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272,723</w:t>
            </w:r>
          </w:p>
        </w:tc>
        <w:tc>
          <w:tcPr>
            <w:tcW w:w="120" w:type="dxa"/>
            <w:vAlign w:val="bottom"/>
            <w:shd w:val="clear" w:color="auto" w:fill="D4EFF4"/>
          </w:tcPr>
          <w:p>
            <w:pPr>
              <w:spacing w:after="0"/>
              <w:rPr>
                <w:sz w:val="21"/>
                <w:szCs w:val="21"/>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Payments of initial public offering costs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(3,896</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Proceeds from exercises of stock options</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2,279</w:t>
            </w:r>
          </w:p>
        </w:tc>
        <w:tc>
          <w:tcPr>
            <w:tcW w:w="10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120" w:type="dxa"/>
            <w:vAlign w:val="bottom"/>
            <w:shd w:val="clear" w:color="auto" w:fill="D4EFF4"/>
          </w:tcPr>
          <w:p>
            <w:pPr>
              <w:spacing w:after="0"/>
              <w:rPr>
                <w:sz w:val="21"/>
                <w:szCs w:val="21"/>
                <w:color w:val="auto"/>
              </w:rPr>
            </w:pPr>
          </w:p>
        </w:tc>
      </w:tr>
      <w:tr>
        <w:trPr>
          <w:trHeight w:val="245"/>
        </w:trPr>
        <w:tc>
          <w:tcPr>
            <w:tcW w:w="69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Proceeds from issuance of common stock under employee stock purchase plan</w:t>
            </w:r>
          </w:p>
        </w:tc>
        <w:tc>
          <w:tcPr>
            <w:tcW w:w="18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w:t>
            </w: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D4EFF4"/>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r>
      <w:tr>
        <w:trPr>
          <w:trHeight w:val="253"/>
        </w:trPr>
        <w:tc>
          <w:tcPr>
            <w:tcW w:w="690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8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2,441</w:t>
            </w:r>
          </w:p>
        </w:tc>
        <w:tc>
          <w:tcPr>
            <w:tcW w:w="100" w:type="dxa"/>
            <w:vAlign w:val="bottom"/>
            <w:tcBorders>
              <w:bottom w:val="single" w:sz="8" w:color="auto"/>
            </w:tcBorders>
            <w:shd w:val="clear" w:color="auto" w:fill="D4EFF4"/>
          </w:tcPr>
          <w:p>
            <w:pPr>
              <w:spacing w:after="0"/>
              <w:rPr>
                <w:sz w:val="22"/>
                <w:szCs w:val="22"/>
                <w:color w:val="auto"/>
              </w:rPr>
            </w:pPr>
          </w:p>
        </w:tc>
        <w:tc>
          <w:tcPr>
            <w:tcW w:w="18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418,910</w:t>
            </w:r>
          </w:p>
        </w:tc>
        <w:tc>
          <w:tcPr>
            <w:tcW w:w="120" w:type="dxa"/>
            <w:vAlign w:val="bottom"/>
            <w:tcBorders>
              <w:bottom w:val="single" w:sz="8" w:color="auto"/>
            </w:tcBorders>
            <w:shd w:val="clear" w:color="auto" w:fill="D4EFF4"/>
          </w:tcPr>
          <w:p>
            <w:pPr>
              <w:spacing w:after="0"/>
              <w:rPr>
                <w:sz w:val="22"/>
                <w:szCs w:val="22"/>
                <w:color w:val="auto"/>
              </w:rPr>
            </w:pPr>
          </w:p>
        </w:tc>
      </w:tr>
      <w:tr>
        <w:trPr>
          <w:trHeight w:val="214"/>
        </w:trPr>
        <w:tc>
          <w:tcPr>
            <w:tcW w:w="6900" w:type="dxa"/>
            <w:vAlign w:val="bottom"/>
          </w:tcPr>
          <w:p>
            <w:pPr>
              <w:spacing w:after="0" w:line="214" w:lineRule="exact"/>
              <w:rPr>
                <w:sz w:val="20"/>
                <w:szCs w:val="20"/>
                <w:color w:val="auto"/>
              </w:rPr>
            </w:pPr>
            <w:r>
              <w:rPr>
                <w:rFonts w:ascii="Times New Roman" w:cs="Times New Roman" w:eastAsia="Times New Roman" w:hAnsi="Times New Roman"/>
                <w:sz w:val="20"/>
                <w:szCs w:val="20"/>
                <w:b w:val="1"/>
                <w:bCs w:val="1"/>
                <w:color w:val="auto"/>
              </w:rPr>
              <w:t>Net increase (decrease) in cash, cash equivalents and restricted 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(224,314 )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line="214" w:lineRule="exact"/>
              <w:rPr>
                <w:sz w:val="20"/>
                <w:szCs w:val="20"/>
                <w:color w:val="auto"/>
              </w:rPr>
            </w:pPr>
            <w:r>
              <w:rPr>
                <w:rFonts w:ascii="Times New Roman" w:cs="Times New Roman" w:eastAsia="Times New Roman" w:hAnsi="Times New Roman"/>
                <w:sz w:val="20"/>
                <w:szCs w:val="20"/>
                <w:color w:val="auto"/>
              </w:rPr>
              <w:t>300,253</w:t>
            </w:r>
          </w:p>
        </w:tc>
        <w:tc>
          <w:tcPr>
            <w:tcW w:w="120" w:type="dxa"/>
            <w:vAlign w:val="bottom"/>
          </w:tcPr>
          <w:p>
            <w:pPr>
              <w:spacing w:after="0"/>
              <w:rPr>
                <w:sz w:val="18"/>
                <w:szCs w:val="18"/>
                <w:color w:val="auto"/>
              </w:rPr>
            </w:pP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18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326,086</w:t>
            </w:r>
          </w:p>
        </w:tc>
        <w:tc>
          <w:tcPr>
            <w:tcW w:w="100" w:type="dxa"/>
            <w:vAlign w:val="bottom"/>
            <w:tcBorders>
              <w:bottom w:val="single" w:sz="8" w:color="auto"/>
            </w:tcBorders>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25,833</w:t>
            </w:r>
          </w:p>
        </w:tc>
        <w:tc>
          <w:tcPr>
            <w:tcW w:w="120" w:type="dxa"/>
            <w:vAlign w:val="bottom"/>
            <w:tcBorders>
              <w:bottom w:val="single" w:sz="8" w:color="auto"/>
            </w:tcBorders>
            <w:shd w:val="clear" w:color="auto" w:fill="D4EFF4"/>
          </w:tcPr>
          <w:p>
            <w:pPr>
              <w:spacing w:after="0"/>
              <w:rPr>
                <w:sz w:val="21"/>
                <w:szCs w:val="21"/>
                <w:color w:val="auto"/>
              </w:rPr>
            </w:pPr>
          </w:p>
        </w:tc>
      </w:tr>
      <w:tr>
        <w:trPr>
          <w:trHeight w:val="274"/>
        </w:trPr>
        <w:tc>
          <w:tcPr>
            <w:tcW w:w="69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18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101,772</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326,086</w:t>
            </w:r>
          </w:p>
        </w:tc>
        <w:tc>
          <w:tcPr>
            <w:tcW w:w="120" w:type="dxa"/>
            <w:vAlign w:val="bottom"/>
            <w:tcBorders>
              <w:bottom w:val="single" w:sz="8" w:color="auto"/>
            </w:tcBorders>
          </w:tcPr>
          <w:p>
            <w:pPr>
              <w:spacing w:after="0"/>
              <w:rPr>
                <w:sz w:val="23"/>
                <w:szCs w:val="23"/>
                <w:color w:val="auto"/>
              </w:rPr>
            </w:pPr>
          </w:p>
        </w:tc>
      </w:tr>
      <w:tr>
        <w:trPr>
          <w:trHeight w:val="228"/>
        </w:trPr>
        <w:tc>
          <w:tcPr>
            <w:tcW w:w="6900" w:type="dxa"/>
            <w:vAlign w:val="bottom"/>
            <w:shd w:val="clear" w:color="auto" w:fill="D4EFF4"/>
          </w:tcPr>
          <w:p>
            <w:pPr>
              <w:spacing w:after="0" w:line="228" w:lineRule="exact"/>
              <w:rPr>
                <w:sz w:val="20"/>
                <w:szCs w:val="20"/>
                <w:color w:val="auto"/>
              </w:rPr>
            </w:pPr>
            <w:r>
              <w:rPr>
                <w:rFonts w:ascii="Times New Roman" w:cs="Times New Roman" w:eastAsia="Times New Roman" w:hAnsi="Times New Roman"/>
                <w:sz w:val="20"/>
                <w:szCs w:val="20"/>
                <w:b w:val="1"/>
                <w:bCs w:val="1"/>
                <w:color w:val="auto"/>
              </w:rPr>
              <w:t>Cash, cash equivalents and restricted cash at end of period:</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325,892</w:t>
            </w:r>
          </w:p>
        </w:tc>
        <w:tc>
          <w:tcPr>
            <w:tcW w:w="120" w:type="dxa"/>
            <w:vAlign w:val="bottom"/>
          </w:tcPr>
          <w:p>
            <w:pPr>
              <w:spacing w:after="0"/>
              <w:rPr>
                <w:sz w:val="21"/>
                <w:szCs w:val="21"/>
                <w:color w:val="auto"/>
              </w:rPr>
            </w:pP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8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00" w:type="dxa"/>
            <w:vAlign w:val="bottom"/>
            <w:tcBorders>
              <w:bottom w:val="single" w:sz="8" w:color="auto"/>
            </w:tcBorders>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194</w:t>
            </w:r>
          </w:p>
        </w:tc>
        <w:tc>
          <w:tcPr>
            <w:tcW w:w="120" w:type="dxa"/>
            <w:vAlign w:val="bottom"/>
            <w:tcBorders>
              <w:bottom w:val="single" w:sz="8" w:color="auto"/>
            </w:tcBorders>
            <w:shd w:val="clear" w:color="auto" w:fill="D4EFF4"/>
          </w:tcPr>
          <w:p>
            <w:pPr>
              <w:spacing w:after="0"/>
              <w:rPr>
                <w:sz w:val="21"/>
                <w:szCs w:val="21"/>
                <w:color w:val="auto"/>
              </w:rPr>
            </w:pPr>
          </w:p>
        </w:tc>
      </w:tr>
      <w:tr>
        <w:trPr>
          <w:trHeight w:val="274"/>
        </w:trPr>
        <w:tc>
          <w:tcPr>
            <w:tcW w:w="690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Total cash, cash equivalents and restricted cash at end of period</w:t>
            </w:r>
          </w:p>
        </w:tc>
        <w:tc>
          <w:tcPr>
            <w:tcW w:w="18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101,772</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326,086</w:t>
            </w:r>
          </w:p>
        </w:tc>
        <w:tc>
          <w:tcPr>
            <w:tcW w:w="120" w:type="dxa"/>
            <w:vAlign w:val="bottom"/>
            <w:tcBorders>
              <w:bottom w:val="single" w:sz="8" w:color="auto"/>
            </w:tcBorders>
          </w:tcPr>
          <w:p>
            <w:pPr>
              <w:spacing w:after="0"/>
              <w:rPr>
                <w:sz w:val="23"/>
                <w:szCs w:val="23"/>
                <w:color w:val="auto"/>
              </w:rPr>
            </w:pPr>
          </w:p>
        </w:tc>
      </w:tr>
      <w:tr>
        <w:trPr>
          <w:trHeight w:val="229"/>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690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Right-of-use asset obtained in exchange for operating lease liability</w:t>
            </w:r>
          </w:p>
        </w:tc>
        <w:tc>
          <w:tcPr>
            <w:tcW w:w="3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1,922</w:t>
            </w:r>
          </w:p>
        </w:tc>
        <w:tc>
          <w:tcPr>
            <w:tcW w:w="120" w:type="dxa"/>
            <w:vAlign w:val="bottom"/>
            <w:tcBorders>
              <w:bottom w:val="single" w:sz="8" w:color="D4EFF4"/>
            </w:tcBorders>
          </w:tcPr>
          <w:p>
            <w:pPr>
              <w:spacing w:after="0"/>
              <w:rPr>
                <w:sz w:val="21"/>
                <w:szCs w:val="21"/>
                <w:color w:val="auto"/>
              </w:rPr>
            </w:pPr>
          </w:p>
        </w:tc>
      </w:tr>
      <w:tr>
        <w:trPr>
          <w:trHeight w:val="224"/>
        </w:trPr>
        <w:tc>
          <w:tcPr>
            <w:tcW w:w="690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 activities:</w:t>
            </w: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6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5"/>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Settlement of Series B preferred stock tranche right liability</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20" w:type="dxa"/>
            <w:vAlign w:val="bottom"/>
          </w:tcPr>
          <w:p>
            <w:pPr>
              <w:spacing w:after="0"/>
              <w:rPr>
                <w:sz w:val="21"/>
                <w:szCs w:val="21"/>
                <w:color w:val="auto"/>
              </w:rPr>
            </w:pPr>
          </w:p>
        </w:tc>
      </w:tr>
      <w:tr>
        <w:trPr>
          <w:trHeight w:val="244"/>
        </w:trPr>
        <w:tc>
          <w:tcPr>
            <w:tcW w:w="69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Initial public offering costs included in accounts payable</w:t>
            </w: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21"/>
                <w:szCs w:val="21"/>
                <w:color w:val="auto"/>
              </w:rPr>
            </w:pPr>
          </w:p>
        </w:tc>
        <w:tc>
          <w:tcPr>
            <w:tcW w:w="180" w:type="dxa"/>
            <w:vAlign w:val="bottom"/>
            <w:shd w:val="clear" w:color="auto" w:fill="D4EFF4"/>
          </w:tcPr>
          <w:p>
            <w:pPr>
              <w:spacing w:after="0"/>
              <w:rPr>
                <w:sz w:val="21"/>
                <w:szCs w:val="21"/>
                <w:color w:val="auto"/>
              </w:rPr>
            </w:pPr>
          </w:p>
        </w:tc>
        <w:tc>
          <w:tcPr>
            <w:tcW w:w="12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20" w:type="dxa"/>
            <w:vAlign w:val="bottom"/>
            <w:shd w:val="clear" w:color="auto" w:fill="D4EFF4"/>
          </w:tcPr>
          <w:p>
            <w:pPr>
              <w:spacing w:after="0"/>
              <w:rPr>
                <w:sz w:val="21"/>
                <w:szCs w:val="2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4493260</wp:posOffset>
                </wp:positionH>
                <wp:positionV relativeFrom="paragraph">
                  <wp:posOffset>-6562725</wp:posOffset>
                </wp:positionV>
                <wp:extent cx="2131060" cy="0"/>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3106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6" o:spid="_x0000_s11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3.8pt,-516.7499pt" to="521.6pt,-516.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-5206365</wp:posOffset>
                </wp:positionV>
                <wp:extent cx="6619875" cy="0"/>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87" o:spid="_x0000_s11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409.9499pt" to="521.6pt,-409.94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-4276725</wp:posOffset>
                </wp:positionV>
                <wp:extent cx="6619875" cy="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8" o:spid="_x0000_s11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36.7499pt" to="521.6pt,-336.7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-3644265</wp:posOffset>
                </wp:positionV>
                <wp:extent cx="6619875" cy="0"/>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89" o:spid="_x0000_s11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86.9499pt" to="521.6pt,-286.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-3011805</wp:posOffset>
                </wp:positionV>
                <wp:extent cx="6619875" cy="0"/>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0" o:spid="_x0000_s11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37.1499pt" to="521.6pt,-237.1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-2555875</wp:posOffset>
                </wp:positionV>
                <wp:extent cx="6619875" cy="0"/>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1" o:spid="_x0000_s11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01.2499pt" to="521.6pt,-201.2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-1269365</wp:posOffset>
                </wp:positionV>
                <wp:extent cx="6619875" cy="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2" o:spid="_x0000_s11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99.9499pt" to="521.6pt,-99.9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-304800</wp:posOffset>
                </wp:positionV>
                <wp:extent cx="6619875" cy="0"/>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3" o:spid="_x0000_s11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4pt" to="521.6pt,-24pt" o:allowincell="f" strokecolor="#FFFFFF" strokeweight="0.72pt"/>
            </w:pict>
          </mc:Fallback>
        </mc:AlternateConten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10440"/>
          </w:cols>
          <w:pgMar w:left="900" w:top="925" w:right="900" w:bottom="175" w:gutter="0" w:footer="0" w:header="0"/>
        </w:sectPr>
      </w:pPr>
    </w:p>
    <w:bookmarkStart w:id="137" w:name="page138"/>
    <w:bookmarkEnd w:id="1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Nature of the business and basis of presentation</w:t>
      </w:r>
    </w:p>
    <w:p>
      <w:pPr>
        <w:spacing w:after="0" w:line="12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Upstream Bio, Inc. was incorporated in April 2021, under the laws of the State of Delaware, and along with its consolidated subsidiary (collectively, the “Company” or “Upstream”), is focused on developing treatments for inflammatory diseases, with an initial focus on severe respiratory disorders. Since its inception, the Company has devoted substantially all of its efforts to raising capital and incurring research and development expenses related to advancing verekitug, a clinical-stage monoclonal antibody that targets and inhibits the Thymic Stromal Lymphopoietin receptor.</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Risks and uncertainties</w:t>
      </w:r>
    </w:p>
    <w:p>
      <w:pPr>
        <w:spacing w:after="0" w:line="11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early-stage companies in the biopharmaceutical industry, including, but not limited to, the successful development of verekitug, the development of new technological innovations by competitors, dependence on key personnel, the ability to attract and retain qualified employees, protection of proprietary technology, compliance with governmental regulations and the ability to secure additional capital to fund operations and commercial success of verekitug. There can be no assurance that the Company’s research and development will be successfully completed, that adequate protection for the Company’s intellectual property will be maintained, that any therapeutic products developed will obtain required regulatory approval or that any approved or consumer products will be commercially viable. Even if the Company’s development efforts are successful, it is uncertain when, if ever, the Company will generate significant product sales.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split</w:t>
      </w:r>
    </w:p>
    <w:p>
      <w:pPr>
        <w:spacing w:after="0" w:line="1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On October 4, 2024, the Company effected a 1.049-for-one stock split of its issued and outstanding shares of common stock and a proportional adjustment to the existing conversion ratios of each series of the Company’s preferred stock (Note 8). Accordingly, all share and per share amounts for all periods presented in the accompanying consolidated financial statements and notes thereto have been adjusted retroactively, where applicable, to reflect this stock split and adjustment of the preferred stock conversion ratios.</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w:t>
      </w:r>
    </w:p>
    <w:p>
      <w:pPr>
        <w:spacing w:after="0" w:line="120"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20"/>
          <w:szCs w:val="20"/>
          <w:color w:val="auto"/>
        </w:rPr>
        <w:t>The Company has evaluated whether there are conditions and events, considered in the aggregate, that raise substantial doubt about the Company’s ability to continue as a going concern within one year from the issuance of these consolidated financial statements.</w:t>
      </w:r>
    </w:p>
    <w:p>
      <w:pPr>
        <w:spacing w:after="0" w:line="18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on the basis of continuity of operations, realization of assets and the satisfaction of liabilities and commitments in the ordinary course of business. The Company has historically financed its operations principally through the issuance and sale of redeemable convertible preferred stock and the proceeds from its initial public offering (“IPO”), which was completed in October 2024. In connection with its IPO, the Company issued and sold 17,250,000 shares of common stock, including 2,250,000 shares pursuant to the full exercise of the underwriters’ option to purchase additional shares, at a price to the public of $17.00 per share. As a result of the IPO, the Company received $268.8 million in net proceeds, after deducting $20.5 million in underwriting discounts and commissions, and $3.9 million in other offering costs. The Company has incurred recurring losses and negative cash flows from operations since its inception and expects to continue to incur losses and negative cash flows for the foreseeable future as it continues the research and development of verekitug. The Company incurred net losses of $143.4 million and $62.8 million for the years ended December 31, 2025 and 2024, respectively. As of December 31, 2025, the Company had an accumulated deficit of $334.2 million.</w:t>
      </w:r>
    </w:p>
    <w:p>
      <w:pPr>
        <w:sectPr>
          <w:pgSz w:w="12240" w:h="15840" w:orient="portrait"/>
          <w:cols w:equalWidth="0" w:num="1">
            <w:col w:w="10420"/>
          </w:cols>
          <w:pgMar w:left="900" w:top="69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10420"/>
          </w:cols>
          <w:pgMar w:left="900" w:top="696" w:right="920" w:bottom="175" w:gutter="0" w:footer="0" w:header="0"/>
          <w:type w:val="continuous"/>
        </w:sectPr>
      </w:pPr>
    </w:p>
    <w:bookmarkStart w:id="138" w:name="page139"/>
    <w:bookmarkEnd w:id="13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The Company expects its cash, cash equivalents and short-term investments will be sufficient to fund its operating expenses and capital expenditure requirements for at least the next twelve months from the date of issuance of these consolidated financial statements. The Company will need additional financing to support its continuing operations and pursue its growth strategy. Until such time as the Company can generate significant product revenue, if ever, the Company expects to fund its operations through equity offerings or debt financings, credit or loan facilities, potentially other capital resources, or a combination of one or more of these funding sources. The terms of any financing may adversely affect the holdings or the rights of the Company’s stockholders. The Company’s failure to raise capital as and when needed could have a negative impact on its financial condition and its ability to pursue its business strategies. If adequate funds are not available to the Company, the Company may be required to delay, reduce or eliminate clinical programs, obtain funds through arrangements with collaborators on terms unfavorable to the Company or pursue merger or acquisition strategies. There can be no assurances the Company will be able to obtain additional funding. Although management continues to pursue these plans, there is no assurance that the Company will be successful in obtaining sufficient funding on terms acceptable to the Company to fund continuing operations, if at all.</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2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accompanying consolidated financial statements reflect the operations of the Company. Intercompany balances and transactions have been eliminated in consolidation. The accompanying consolidated financial statements have been prepared in accordance with accounting principles generally accepted in the United States of America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Summary of Significant Accounting Policies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20"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The Company assesses estimates on an ongoing basis; however, actual results could materially differ from those estimates. Significant estimates and assumptions reflected within these consolidated financial statements include, but are not limited to, prepaid and accrued research and development expenses, including those related to contract research organizations (“CROs”), contract manufacturing organizations (“CMOs”) and other third-party vendors, the valuation of the Company’s common stock prior to the Company’s IPO in October 2024 and stock-based awards and the valuation of the preferred stock tranche right liabilities. Changes in estimates are recorded in the period in which they become known.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and of significant suppliers</w:t>
      </w:r>
    </w:p>
    <w:p>
      <w:pPr>
        <w:spacing w:after="0" w:line="12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significant concentration of credit risk consist primarily of cash, cash equivalents and short-term investments. The Company deposits its cash and cash equivalents in financial institutions in amounts that may exceed federally insured limits, and has not experienced any losses on such accounts and does not believe it is exposed to any unusual credit risk beyond the normal credit risk associated with commercial banking relationships. The Company’s short-term investments consist of U.S. treasury securities, government agency bonds and corporate debt securities which the Company believes represent minimal credit risk.</w:t>
      </w:r>
    </w:p>
    <w:p>
      <w:pPr>
        <w:spacing w:after="0" w:line="20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Company is dependent on third -party manufacturers to supply products for research and development activities related to verekitug, including preclinical and clinical studies and testing. In particular, the Company relies and expects to continue to rely on a small number of manufacturers for the supply of verekitug. The Company’s preclinical and clinical studies and testing could be adversely affected by a significant interruption in the supply.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gains and losses</w:t>
      </w:r>
    </w:p>
    <w:p>
      <w:pPr>
        <w:spacing w:after="0" w:line="12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color w:val="auto"/>
        </w:rPr>
        <w:t>The functional currency and the reporting currency of the Company is the U.S. dollar. Adjustments that arise from exchange rate changes on transactions denominated in a currency other than the functional currency are included as foreign exchange gains and</w:t>
      </w:r>
    </w:p>
    <w:p>
      <w:pPr>
        <w:sectPr>
          <w:pgSz w:w="12240" w:h="15840" w:orient="portrait"/>
          <w:cols w:equalWidth="0" w:num="1">
            <w:col w:w="10420"/>
          </w:cols>
          <w:pgMar w:left="900" w:top="696" w:right="92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F-8</w:t>
      </w:r>
    </w:p>
    <w:p>
      <w:pPr>
        <w:sectPr>
          <w:pgSz w:w="12240" w:h="15840" w:orient="portrait"/>
          <w:cols w:equalWidth="0" w:num="1">
            <w:col w:w="10420"/>
          </w:cols>
          <w:pgMar w:left="900" w:top="696" w:right="920" w:bottom="175" w:gutter="0" w:footer="0" w:header="0"/>
          <w:type w:val="continuous"/>
        </w:sectPr>
      </w:pPr>
    </w:p>
    <w:bookmarkStart w:id="139" w:name="page140"/>
    <w:bookmarkEnd w:id="139"/>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880"/>
        <w:spacing w:after="0" w:line="304" w:lineRule="auto"/>
        <w:rPr>
          <w:sz w:val="20"/>
          <w:szCs w:val="20"/>
          <w:color w:val="auto"/>
        </w:rPr>
      </w:pPr>
      <w:r>
        <w:rPr>
          <w:rFonts w:ascii="Times New Roman" w:cs="Times New Roman" w:eastAsia="Times New Roman" w:hAnsi="Times New Roman"/>
          <w:sz w:val="19"/>
          <w:szCs w:val="19"/>
          <w:color w:val="auto"/>
        </w:rPr>
        <w:t>losses in other expense, net in the consolidated statements of operations and comprehensive loss. The Company has not recognized material foreign currency transaction gains or losses during the years ended December 31, 2025 and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Company considers all short-term, highly liquid investments, with an original maturity of three months or less, to be cash equivalents, and as of December 31, 2025 and 2024, includes amounts held in money market funds in the amount of $86.0 million and $321.0 million, respectively and in U.S. treasury securities of $15.0 million and $4.2 million, respectively.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119"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Restricted cash consisted of a letter of credit totaling $0.2 million as of December 31, 2025 and 2024, that is required to be maintained in connection with the Company's lease arrangements. The letter of credit is in the name of the Company's landlord and is required to fulfill lease requirements in the event the Company should default on its lease obligations. As of December 31, 2025 and 2024, the Company classified its restricted cash as non-current assets on the consolidated balance sheets based on the release date of the restriction.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investments</w:t>
      </w:r>
    </w:p>
    <w:p>
      <w:pPr>
        <w:spacing w:after="0" w:line="12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Available-for-sale securities consist of investments with original maturities greater than 90 days at acquisition date. The Company classifies any investments with maturities beyond one year as short term, based on their highly liquid nature and because such available-for-sale securities represent the investment of cash that is available for current operations.</w:t>
      </w:r>
    </w:p>
    <w:p>
      <w:pPr>
        <w:spacing w:after="0" w:line="188"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The Company’s debt security investments are classified as available-for-sale and are carried at fair value, with the unrealized gains and losses reported as a component of accumulated other comprehensive income (loss) in stockholders’ equity. Realized gains and losses and declines in fair value due to credit-related factors are based on the specific identification method and are included as other expense, net in the consolidated statements of operations and comprehensive loss. The Company recorded interest income on available-for-sale investments of $16.9 million and $12.1 million during the years ended December 31, 2025 and 2024, respectively, which is classified as interest income in the consolidated statements of operations and comprehensive loss.</w:t>
      </w:r>
    </w:p>
    <w:p>
      <w:pPr>
        <w:spacing w:after="0" w:line="200" w:lineRule="exact"/>
        <w:rPr>
          <w:sz w:val="20"/>
          <w:szCs w:val="20"/>
          <w:color w:val="auto"/>
        </w:rPr>
      </w:pPr>
    </w:p>
    <w:p>
      <w:pPr>
        <w:ind w:right="180"/>
        <w:spacing w:after="0" w:line="244" w:lineRule="auto"/>
        <w:rPr>
          <w:sz w:val="20"/>
          <w:szCs w:val="20"/>
          <w:color w:val="auto"/>
        </w:rPr>
      </w:pPr>
      <w:r>
        <w:rPr>
          <w:rFonts w:ascii="Times New Roman" w:cs="Times New Roman" w:eastAsia="Times New Roman" w:hAnsi="Times New Roman"/>
          <w:sz w:val="20"/>
          <w:szCs w:val="20"/>
          <w:color w:val="auto"/>
        </w:rPr>
        <w:t>At each balance sheet date, the Company assesses available-for-sale debt securities in an unrealized loss position to determine whether the unrealized loss or any potential credit losses should be recognized in other expense, net.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expense, net. The portion that is not credit-related is treated in accordance with other unrealized losses as a component of accumulated other comprehensive income (loss) in stockholders’ equity. There have been no impairment or credit losses recognized during any of the periods presented.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measurements</w:t>
      </w:r>
    </w:p>
    <w:p>
      <w:pPr>
        <w:spacing w:after="0" w:line="160"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21" w:lineRule="exact"/>
        <w:rPr>
          <w:sz w:val="20"/>
          <w:szCs w:val="20"/>
          <w:color w:val="auto"/>
        </w:rPr>
      </w:pPr>
    </w:p>
    <w:p>
      <w:pPr>
        <w:ind w:left="580"/>
        <w:spacing w:after="0"/>
        <w:tabs>
          <w:tab w:leader="none" w:pos="1720" w:val="left"/>
        </w:tabs>
        <w:rPr>
          <w:sz w:val="20"/>
          <w:szCs w:val="20"/>
          <w:color w:val="auto"/>
        </w:rPr>
      </w:pPr>
      <w:r>
        <w:rPr>
          <w:rFonts w:ascii="Times New Roman" w:cs="Times New Roman" w:eastAsia="Times New Roman" w:hAnsi="Times New Roman"/>
          <w:sz w:val="20"/>
          <w:szCs w:val="20"/>
          <w:color w:val="auto"/>
        </w:rPr>
        <w:t>Level 1</w:t>
      </w:r>
      <w:r>
        <w:rPr>
          <w:sz w:val="20"/>
          <w:szCs w:val="20"/>
          <w:color w:val="auto"/>
        </w:rPr>
        <w:tab/>
      </w:r>
      <w:r>
        <w:rPr>
          <w:rFonts w:ascii="Times New Roman" w:cs="Times New Roman" w:eastAsia="Times New Roman" w:hAnsi="Times New Roman"/>
          <w:sz w:val="20"/>
          <w:szCs w:val="20"/>
          <w:color w:val="auto"/>
        </w:rPr>
        <w:t>Quoted prices in active markets for identical assets or liabilities.</w:t>
      </w:r>
    </w:p>
    <w:p>
      <w:pPr>
        <w:spacing w:after="0" w:line="160" w:lineRule="exact"/>
        <w:rPr>
          <w:sz w:val="20"/>
          <w:szCs w:val="20"/>
          <w:color w:val="auto"/>
        </w:rPr>
      </w:pPr>
    </w:p>
    <w:p>
      <w:pPr>
        <w:ind w:left="1740" w:right="40" w:hanging="1151"/>
        <w:spacing w:after="0" w:line="258" w:lineRule="auto"/>
        <w:tabs>
          <w:tab w:leader="none" w:pos="1720" w:val="left"/>
        </w:tabs>
        <w:rPr>
          <w:sz w:val="20"/>
          <w:szCs w:val="20"/>
          <w:color w:val="auto"/>
        </w:rPr>
      </w:pPr>
      <w:r>
        <w:rPr>
          <w:rFonts w:ascii="Times New Roman" w:cs="Times New Roman" w:eastAsia="Times New Roman" w:hAnsi="Times New Roman"/>
          <w:sz w:val="20"/>
          <w:szCs w:val="20"/>
          <w:color w:val="auto"/>
        </w:rPr>
        <w:t>Level 2</w:t>
      </w:r>
      <w:r>
        <w:rPr>
          <w:sz w:val="20"/>
          <w:szCs w:val="20"/>
          <w:color w:val="auto"/>
        </w:rPr>
        <w:tab/>
      </w:r>
      <w:r>
        <w:rPr>
          <w:rFonts w:ascii="Times New Roman" w:cs="Times New Roman" w:eastAsia="Times New Roman" w:hAnsi="Times New Roman"/>
          <w:sz w:val="20"/>
          <w:szCs w:val="20"/>
          <w:color w:val="auto"/>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ectPr>
          <w:pgSz w:w="12240" w:h="15840" w:orient="portrait"/>
          <w:cols w:equalWidth="0" w:num="1">
            <w:col w:w="10440"/>
          </w:cols>
          <w:pgMar w:left="900" w:top="696" w:right="900" w:bottom="1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10440"/>
          </w:cols>
          <w:pgMar w:left="900" w:top="696" w:right="900" w:bottom="175" w:gutter="0" w:footer="0" w:header="0"/>
          <w:type w:val="continuous"/>
        </w:sectPr>
      </w:pPr>
    </w:p>
    <w:bookmarkStart w:id="140" w:name="page141"/>
    <w:bookmarkEnd w:id="140"/>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left="1740" w:right="120" w:hanging="1151"/>
        <w:spacing w:after="0" w:line="258" w:lineRule="auto"/>
        <w:tabs>
          <w:tab w:leader="none" w:pos="1720" w:val="left"/>
        </w:tabs>
        <w:rPr>
          <w:sz w:val="20"/>
          <w:szCs w:val="20"/>
          <w:color w:val="auto"/>
        </w:rPr>
      </w:pPr>
      <w:r>
        <w:rPr>
          <w:rFonts w:ascii="Times New Roman" w:cs="Times New Roman" w:eastAsia="Times New Roman" w:hAnsi="Times New Roman"/>
          <w:sz w:val="20"/>
          <w:szCs w:val="20"/>
          <w:color w:val="auto"/>
        </w:rPr>
        <w:t>Level 3</w:t>
      </w:r>
      <w:r>
        <w:rPr>
          <w:sz w:val="20"/>
          <w:szCs w:val="20"/>
          <w:color w:val="auto"/>
        </w:rPr>
        <w:tab/>
      </w:r>
      <w:r>
        <w:rPr>
          <w:rFonts w:ascii="Times New Roman" w:cs="Times New Roman" w:eastAsia="Times New Roman" w:hAnsi="Times New Roman"/>
          <w:sz w:val="20"/>
          <w:szCs w:val="20"/>
          <w:color w:val="auto"/>
        </w:rPr>
        <w:t>Unobservable inputs that are supported by little or no market activity that are significant to determining the fair value of the assets or liabilities, including pricing models, discounted cash flow methodologies and similar techniques.</w:t>
      </w:r>
    </w:p>
    <w:p>
      <w:pPr>
        <w:spacing w:after="0" w:line="108"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20"/>
          <w:szCs w:val="20"/>
          <w:color w:val="auto"/>
        </w:rPr>
        <w:t>The carrying values of the Company’s accounts receivables, prepaid expenses and other current assets, accounts payable and accrued expenses and other current liabilities approximate their fair values due to the short-term nature of these assets and liabilities. The Company’s cash equivalents, short-term investments and the preferred stock tranche right liability are carried at fair value (Note 3).</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60" w:lineRule="exact"/>
        <w:rPr>
          <w:sz w:val="20"/>
          <w:szCs w:val="20"/>
          <w:color w:val="auto"/>
        </w:rPr>
      </w:pPr>
    </w:p>
    <w:p>
      <w:pPr>
        <w:jc w:val="both"/>
        <w:ind w:right="760"/>
        <w:spacing w:after="0" w:line="278" w:lineRule="auto"/>
        <w:rPr>
          <w:sz w:val="20"/>
          <w:szCs w:val="20"/>
          <w:color w:val="auto"/>
        </w:rPr>
      </w:pPr>
      <w:r>
        <w:rPr>
          <w:rFonts w:ascii="Times New Roman" w:cs="Times New Roman" w:eastAsia="Times New Roman" w:hAnsi="Times New Roman"/>
          <w:sz w:val="20"/>
          <w:szCs w:val="20"/>
          <w:color w:val="auto"/>
        </w:rPr>
        <w:t>The Company records property and equipment at cost less accumulated depreciation and amortization. Depreciation and amortization expense is recognized using the straight-line method over the estimated useful life of each asset,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Estimated Useful Life</w:t>
            </w:r>
          </w:p>
        </w:tc>
        <w:tc>
          <w:tcPr>
            <w:tcW w:w="0" w:type="dxa"/>
            <w:vAlign w:val="bottom"/>
          </w:tcPr>
          <w:p>
            <w:pPr>
              <w:spacing w:after="0"/>
              <w:rPr>
                <w:sz w:val="1"/>
                <w:szCs w:val="1"/>
                <w:color w:val="auto"/>
              </w:rPr>
            </w:pPr>
          </w:p>
        </w:tc>
      </w:tr>
      <w:tr>
        <w:trPr>
          <w:trHeight w:val="234"/>
        </w:trPr>
        <w:tc>
          <w:tcPr>
            <w:tcW w:w="7640" w:type="dxa"/>
            <w:vAlign w:val="bottom"/>
            <w:gridSpan w:val="2"/>
            <w:vMerge w:val="continue"/>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 years</w:t>
            </w:r>
          </w:p>
        </w:tc>
        <w:tc>
          <w:tcPr>
            <w:tcW w:w="0" w:type="dxa"/>
            <w:vAlign w:val="bottom"/>
          </w:tcPr>
          <w:p>
            <w:pPr>
              <w:spacing w:after="0"/>
              <w:rPr>
                <w:sz w:val="1"/>
                <w:szCs w:val="1"/>
                <w:color w:val="auto"/>
              </w:rPr>
            </w:pPr>
          </w:p>
        </w:tc>
      </w:tr>
      <w:tr>
        <w:trPr>
          <w:trHeight w:val="244"/>
        </w:trPr>
        <w:tc>
          <w:tcPr>
            <w:tcW w:w="2330" w:type="dxa"/>
            <w:vAlign w:val="bottom"/>
            <w:shd w:val="clear" w:color="auto" w:fill="D1EEF5"/>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5310" w:type="dxa"/>
            <w:vAlign w:val="bottom"/>
            <w:shd w:val="clear" w:color="auto" w:fill="D1EEF5"/>
          </w:tcPr>
          <w:p>
            <w:pPr>
              <w:spacing w:after="0"/>
              <w:rPr>
                <w:sz w:val="21"/>
                <w:szCs w:val="21"/>
                <w:color w:val="auto"/>
              </w:rPr>
            </w:pPr>
          </w:p>
        </w:tc>
        <w:tc>
          <w:tcPr>
            <w:tcW w:w="28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rPr>
              <w:t>3 years</w:t>
            </w:r>
          </w:p>
        </w:tc>
        <w:tc>
          <w:tcPr>
            <w:tcW w:w="0" w:type="dxa"/>
            <w:vAlign w:val="bottom"/>
          </w:tcPr>
          <w:p>
            <w:pPr>
              <w:spacing w:after="0"/>
              <w:rPr>
                <w:sz w:val="1"/>
                <w:szCs w:val="1"/>
                <w:color w:val="auto"/>
              </w:rPr>
            </w:pPr>
          </w:p>
        </w:tc>
      </w:tr>
      <w:tr>
        <w:trPr>
          <w:trHeight w:val="244"/>
        </w:trPr>
        <w:tc>
          <w:tcPr>
            <w:tcW w:w="7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28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 years</w:t>
            </w:r>
          </w:p>
        </w:tc>
        <w:tc>
          <w:tcPr>
            <w:tcW w:w="0" w:type="dxa"/>
            <w:vAlign w:val="bottom"/>
          </w:tcPr>
          <w:p>
            <w:pPr>
              <w:spacing w:after="0"/>
              <w:rPr>
                <w:sz w:val="1"/>
                <w:szCs w:val="1"/>
                <w:color w:val="auto"/>
              </w:rPr>
            </w:pPr>
          </w:p>
        </w:tc>
      </w:tr>
      <w:tr>
        <w:trPr>
          <w:trHeight w:val="245"/>
        </w:trPr>
        <w:tc>
          <w:tcPr>
            <w:tcW w:w="2330" w:type="dxa"/>
            <w:vAlign w:val="bottom"/>
            <w:vMerge w:val="restart"/>
            <w:shd w:val="clear" w:color="auto" w:fill="D1EEF5"/>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5310" w:type="dxa"/>
            <w:vAlign w:val="bottom"/>
            <w:shd w:val="clear" w:color="auto" w:fill="D1EEF5"/>
          </w:tcPr>
          <w:p>
            <w:pPr>
              <w:spacing w:after="0"/>
              <w:rPr>
                <w:sz w:val="21"/>
                <w:szCs w:val="21"/>
                <w:color w:val="auto"/>
              </w:rPr>
            </w:pPr>
          </w:p>
        </w:tc>
        <w:tc>
          <w:tcPr>
            <w:tcW w:w="2800" w:type="dxa"/>
            <w:vAlign w:val="bottom"/>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9"/>
              </w:rPr>
              <w:t>Shorter of remaining lease term or</w:t>
            </w:r>
          </w:p>
        </w:tc>
        <w:tc>
          <w:tcPr>
            <w:tcW w:w="0" w:type="dxa"/>
            <w:vAlign w:val="bottom"/>
          </w:tcPr>
          <w:p>
            <w:pPr>
              <w:spacing w:after="0"/>
              <w:rPr>
                <w:sz w:val="1"/>
                <w:szCs w:val="1"/>
                <w:color w:val="auto"/>
              </w:rPr>
            </w:pPr>
          </w:p>
        </w:tc>
      </w:tr>
      <w:tr>
        <w:trPr>
          <w:trHeight w:val="115"/>
        </w:trPr>
        <w:tc>
          <w:tcPr>
            <w:tcW w:w="2330" w:type="dxa"/>
            <w:vAlign w:val="bottom"/>
            <w:vMerge w:val="continue"/>
            <w:shd w:val="clear" w:color="auto" w:fill="D1EEF5"/>
          </w:tcPr>
          <w:p>
            <w:pPr>
              <w:spacing w:after="0"/>
              <w:rPr>
                <w:sz w:val="10"/>
                <w:szCs w:val="10"/>
                <w:color w:val="auto"/>
              </w:rPr>
            </w:pPr>
          </w:p>
        </w:tc>
        <w:tc>
          <w:tcPr>
            <w:tcW w:w="5310" w:type="dxa"/>
            <w:vAlign w:val="bottom"/>
            <w:shd w:val="clear" w:color="auto" w:fill="D1EEF5"/>
          </w:tcPr>
          <w:p>
            <w:pPr>
              <w:spacing w:after="0"/>
              <w:rPr>
                <w:sz w:val="10"/>
                <w:szCs w:val="10"/>
                <w:color w:val="auto"/>
              </w:rPr>
            </w:pPr>
          </w:p>
        </w:tc>
        <w:tc>
          <w:tcPr>
            <w:tcW w:w="2800" w:type="dxa"/>
            <w:vAlign w:val="bottom"/>
            <w:vMerge w:val="restart"/>
            <w:shd w:val="clear" w:color="auto" w:fill="D1EEF5"/>
          </w:tcPr>
          <w:p>
            <w:pPr>
              <w:jc w:val="center"/>
              <w:spacing w:after="0"/>
              <w:rPr>
                <w:sz w:val="20"/>
                <w:szCs w:val="20"/>
                <w:color w:val="auto"/>
              </w:rPr>
            </w:pPr>
            <w:r>
              <w:rPr>
                <w:rFonts w:ascii="Times New Roman" w:cs="Times New Roman" w:eastAsia="Times New Roman" w:hAnsi="Times New Roman"/>
                <w:sz w:val="20"/>
                <w:szCs w:val="20"/>
                <w:color w:val="auto"/>
                <w:w w:val="99"/>
              </w:rPr>
              <w:t>estimated useful life</w:t>
            </w:r>
          </w:p>
        </w:tc>
        <w:tc>
          <w:tcPr>
            <w:tcW w:w="0" w:type="dxa"/>
            <w:vAlign w:val="bottom"/>
          </w:tcPr>
          <w:p>
            <w:pPr>
              <w:spacing w:after="0"/>
              <w:rPr>
                <w:sz w:val="1"/>
                <w:szCs w:val="1"/>
                <w:color w:val="auto"/>
              </w:rPr>
            </w:pPr>
          </w:p>
        </w:tc>
      </w:tr>
      <w:tr>
        <w:trPr>
          <w:trHeight w:val="115"/>
        </w:trPr>
        <w:tc>
          <w:tcPr>
            <w:tcW w:w="2330" w:type="dxa"/>
            <w:vAlign w:val="bottom"/>
            <w:shd w:val="clear" w:color="auto" w:fill="D1EEF5"/>
          </w:tcPr>
          <w:p>
            <w:pPr>
              <w:spacing w:after="0"/>
              <w:rPr>
                <w:sz w:val="10"/>
                <w:szCs w:val="10"/>
                <w:color w:val="auto"/>
              </w:rPr>
            </w:pPr>
          </w:p>
        </w:tc>
        <w:tc>
          <w:tcPr>
            <w:tcW w:w="5310" w:type="dxa"/>
            <w:vAlign w:val="bottom"/>
            <w:shd w:val="clear" w:color="auto" w:fill="D1EEF5"/>
          </w:tcPr>
          <w:p>
            <w:pPr>
              <w:spacing w:after="0"/>
              <w:rPr>
                <w:sz w:val="10"/>
                <w:szCs w:val="10"/>
                <w:color w:val="auto"/>
              </w:rPr>
            </w:pPr>
          </w:p>
        </w:tc>
        <w:tc>
          <w:tcPr>
            <w:tcW w:w="2800" w:type="dxa"/>
            <w:vAlign w:val="bottom"/>
            <w:vMerge w:val="continue"/>
            <w:shd w:val="clear" w:color="auto" w:fill="D1EEF5"/>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4846955</wp:posOffset>
                </wp:positionH>
                <wp:positionV relativeFrom="paragraph">
                  <wp:posOffset>-762000</wp:posOffset>
                </wp:positionV>
                <wp:extent cx="1777365"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7736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65pt,-60pt" to="521.6pt,-60pt" o:allowincell="f" strokecolor="#FFFFFF" strokeweight="0.72pt"/>
            </w:pict>
          </mc:Fallback>
        </mc:AlternateContent>
      </w:r>
    </w:p>
    <w:p>
      <w:pPr>
        <w:spacing w:after="0" w:line="12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Estimated useful lives are periodically assessed to determine if changes are appropriate. Leasehold improvements are amortized using the straight-line method over the lesser of the lease term or its estimated economic useful life. Lease terms are based upon the initial lease agreement and do not consider potential renewals or extensions until such time that the renewals or extensions are contracted. Expenditures for maintenance and repairs that do not improve or extend the life of the respective assets are expensed as incurred. When assets are retired or otherwise disposed of, the cost of these assets and related accumulated depreciation or amortization are eliminated from the consolidated balance sheets and any resulting gains or losses are included in the consolidated statements of operations and comprehensive loss in the period of disposal. Costs for capital assets not yet placed into service are capitalized as construction-in-progress and depreciated once placed into service.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6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Company evaluates its long-lived assets for impairment whenever events or changes in circumstances indicate that the carrying amount of such assets may not be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For the years ended December 31, 2025 and 2024, the Company did not record any impairment losses on long-lived assets.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leases</w:t>
      </w:r>
    </w:p>
    <w:p>
      <w:pPr>
        <w:spacing w:after="0" w:line="16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20"/>
          <w:szCs w:val="20"/>
          <w:color w:val="auto"/>
        </w:rPr>
        <w:t xml:space="preserve">The Company determines if an arrangement is or contains a lease, as defined by ASU 2016-02, </w:t>
      </w:r>
      <w:r>
        <w:rPr>
          <w:rFonts w:ascii="Times New Roman" w:cs="Times New Roman" w:eastAsia="Times New Roman" w:hAnsi="Times New Roman"/>
          <w:sz w:val="20"/>
          <w:szCs w:val="20"/>
          <w:i w:val="1"/>
          <w:iCs w:val="1"/>
          <w:color w:val="auto"/>
        </w:rPr>
        <w:t>Leases</w:t>
      </w:r>
      <w:r>
        <w:rPr>
          <w:rFonts w:ascii="Times New Roman" w:cs="Times New Roman" w:eastAsia="Times New Roman" w:hAnsi="Times New Roman"/>
          <w:sz w:val="20"/>
          <w:szCs w:val="20"/>
          <w:color w:val="auto"/>
        </w:rPr>
        <w:t xml:space="preserve"> (Topic 842) (“ASC 842”), at the lease inception date by evaluating whether the arrangement conveys the right to use an identified asset and whether the Company obtains substantially all of the economic benefits from and has the ability to direct the use of the asset. If an arrangement is determined to be or contain a lease, the lease is assessed for classification as either an operating or finance lease at the lease commencement date, defined as the date on which the leased asset is made available for use by the Company, based on the economic characteristics of the lease.</w:t>
      </w:r>
    </w:p>
    <w:p>
      <w:pPr>
        <w:spacing w:after="0" w:line="119" w:lineRule="exact"/>
        <w:rPr>
          <w:sz w:val="20"/>
          <w:szCs w:val="20"/>
          <w:color w:val="auto"/>
        </w:rPr>
      </w:pPr>
    </w:p>
    <w:p>
      <w:pPr>
        <w:ind w:right="220"/>
        <w:spacing w:after="0" w:line="249" w:lineRule="auto"/>
        <w:rPr>
          <w:sz w:val="20"/>
          <w:szCs w:val="20"/>
          <w:color w:val="auto"/>
        </w:rPr>
      </w:pPr>
      <w:r>
        <w:rPr>
          <w:rFonts w:ascii="Times New Roman" w:cs="Times New Roman" w:eastAsia="Times New Roman" w:hAnsi="Times New Roman"/>
          <w:sz w:val="20"/>
          <w:szCs w:val="20"/>
          <w:color w:val="auto"/>
        </w:rPr>
        <w:t>ASC 842 includes certain practical expedients that can be elected for new leases that are executed after the adoption of the new requirements. The Company elected the practical expedient to not separate lease and non-lease components. The Company also elected to apply the short-term lease recognition exemption which eliminates the requirement to present on the consolidated balance sheets leases with a term of 12 months or less. These two practical expedients were elected for all classes of underlying assets.</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10440"/>
          </w:cols>
          <w:pgMar w:left="900" w:top="696" w:right="900" w:bottom="187" w:gutter="0" w:footer="0" w:header="0"/>
          <w:type w:val="continuous"/>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At the lease commencement date, the Company recognizes a lease liability and a right-of-use (“ROU”) asset representing its right to use the underlying asset over the lease term. The initial measurement of the lease liability is calculated as the present value of the future lease payments in the contract and the ROU asset is measured as the lease liability plus initial direct costs and prepaid lease payments, less lease incentives granted by the lessor. The subsequent measurement of a lease is dependent on whether the lease is classified as an operating lease or a finance lease. Operating lease cost is recognized on a straight-line basis over the lease term in the consolidated statements of operations and comprehensive loss.</w:t>
      </w:r>
    </w:p>
    <w:p>
      <w:pPr>
        <w:spacing w:after="0" w:line="11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Company’s leases require other payments such as costs related to taxes, insurance, maintenance, and other expenses. These costs are generally variable in nature and based on the actual costs incurred and required by the lease. As the Company has elected to not separate lease and non-lease components for all classes of underlying asset, all variable costs associated with the lease are expensed in the period incurred and presented and disclosed as variable lease costs. The Company’s lease agreements do not contain any material residual value guarantees or material restrictive financial covenants.</w:t>
      </w:r>
    </w:p>
    <w:p>
      <w:pPr>
        <w:spacing w:after="0" w:line="11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ASC 842 requires that a lessee use the rate implicit in the lease when measuring the lease liability and ROU asset. If the rate implicit in the lease is not readily determinable, the Company is permitted to use its incremental borrowing rate, which is defined as the rate of interest that the Company would have to pay to borrow on a collateralized basis over a similar term an amount equal to the lease payments in a similar economic environment. Since the rate implicit in the lease is not readily determinable, the Company uses its incremental borrowing rate when measuring its leases. The incremental borrowing rate is calculated by considering the Company’s credit standing, the lease term and the impact of collateral.</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Most leases include options to renew and, or, terminate the lease, which can impact the lease term. The exercise of these options is at the Company’s discretion. Periods covered by an option to extend a lease are not included in the lease term as the Company is not reasonably certain it will exercise this option. Additionally, periods covered by an option to terminate the lease are included in the lease term as it is reasonably certain that the Company will not exercise this option.</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Classification and accretion of redeemable convertible preferred stock</w:t>
      </w:r>
    </w:p>
    <w:p>
      <w:pPr>
        <w:spacing w:after="0" w:line="160"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The holders of Preferred Stock (as defined in Note 8) have certain redemption rights in the event of a deemed liquidation event that, in certain situations, are not solely within the control of the Company and would call for the redemption of the then outstanding Preferred Stock (Note 8). Therefore, the Preferred Stock is classified as mezzanine equity outside of stockholders’ equity on the consolidated balance sheets. The Company recorded the Preferred Stock at fair value upon issuance, net of tranche right liabilities (Note 8) and associated issuance costs. The net carrying value of redeemable convertible preferred stock were accreted to their redemption values through a charge to additional paid-in capital or accumulated deficit over the period from date of issuance to the earliest date on which the holders could, at their option, elect to redeem their shares. In connection with the IPO, all outstanding shares of convertible preferred stock converted into an aggregate of 33,321,149 shares of the Company’s common stock.</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Preferred stock tranche right liabilities</w:t>
      </w:r>
    </w:p>
    <w:p>
      <w:pPr>
        <w:spacing w:after="0" w:line="160"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The purchase agreements for the Company’s Preferred Stock provide the Company an obligation to issue additional Preferred Stock in subsequent closings upon the satisfaction of certain conditions (the “preferred stock tranche rights”) (Note 8).</w:t>
      </w:r>
    </w:p>
    <w:p>
      <w:pPr>
        <w:spacing w:after="0" w:line="8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Company classified such preferred stock tranche rights as liabilities on its consolidated balance sheets (the “preferred stock tranche right liabilities”) as each preferred stock tranche right was determined to be a freestanding financial instrument that may require the Company to transfer assets to settle its obligation upon events outside of its control. The preferred stock tranche right liabilities were initially recorded at fair value upon the issuance date and are subsequently remeasured to fair value at each reporting date and immediately prior to being settled. Changes in fair value of the preferred stock tranche right liabilities are recognized as a component of other income, net in the consolidated statements of operations and comprehensive loss. Upon settlement of the tranche rights, the Company derecognized the related liability, and stopped recognizing changes in the fair value of the preferred stock tranche right liability. Any issuance costs allocated to the preferred stock tranche right liabilities were immediately expensed.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161"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The Company enters into license arrangements, pursuant to which it may provide research and development services for third parties.</w:t>
      </w:r>
    </w:p>
    <w:p>
      <w:pPr>
        <w:sectPr>
          <w:pgSz w:w="12240" w:h="15840" w:orient="portrait"/>
          <w:cols w:equalWidth="0" w:num="1">
            <w:col w:w="10420"/>
          </w:cols>
          <w:pgMar w:left="900" w:top="696" w:right="9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10420"/>
          </w:cols>
          <w:pgMar w:left="900" w:top="696" w:right="920" w:bottom="187"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To determine revenue recognition for arrangements that the Company determines are within the scope of ASC 606, Revenue from Contracts with Customers, (“ASC 606”), the Company performs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the Company satisfies each performance obligation. At contract inception, the Company assesses whether the goods or services promised within each contract are a separate performance obligation. Goods and services that are determined not to be distinct are combined with other promised goods and services until a distinct bundle is identified. The Company then allocates the transaction price, the amount of consideration the Company expects to be entitled to from a customer in exchange for the promised goods or services, to each performance obligation and recognizes the associated revenue when each performance obligation is satisfied.</w:t>
      </w:r>
    </w:p>
    <w:p>
      <w:pPr>
        <w:spacing w:after="0" w:line="12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In determining the appropriate amount of revenue to be recognized, the Company uses judgment to determine: (a) the number of performance obligations; (b) the transaction price; (c) the stand-alone selling price for each performance obligation identified in the contract; and (d) the contract term and pattern of satisfaction of the performance obligations. The Company uses judgment to determine whether milestones or other variable consideration should be included in the transaction price. The transaction price is allocated to the identified performance obligations on a relative stand-alone selling price basis, for which the Company recognizes revenue as or when the performance obligations under the contract are satisfied. At contract inception, the Company estimates the total costs required to satisfy the performance obligation and subsequently updates the estimate at each reporting period. Accordingly, the Company’s estimates may change in the future and those changes could result in a change in amounts of revenue recognized and could be material.</w:t>
      </w:r>
    </w:p>
    <w:p>
      <w:pPr>
        <w:spacing w:after="0" w:line="126"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generated revenue from a research and development arrangement with Maruho Co., Ltd (“Maruho”), which is accounted for under ASC 606. Pursuant to the agreement, the Company provides to Maruho research and development services related to verekitug in Japan, and Maruho reimburses the Company for these costs incurred in performing the research and development services (Note 15).</w:t>
      </w:r>
    </w:p>
    <w:p>
      <w:pPr>
        <w:spacing w:after="0" w:line="114"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 Company records accounts receivable when its right to receive consideration is solely based on the passage of time. Amounts received prior to satisfying the revenue recognition criteria are recorded as deferred revenue in the Company’s consolidated balance sheets. Amounts expected to be recognized as revenue within one year following the balance sheet date are classified as current deferred revenue. Amounts not expected to be recognized as revenue within one year following the balance sheet date are classified as deferred revenue, net of current portion. Payment terms and conditions generally require payment within 60 days of invoicing.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60"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Operating segments are defined as components of an enterprise for which separate discrete financial information is available for evaluation by the chief operating decision maker (“CODM”) in deciding how to allocate resources and assess performance. The Company’s CODM, its Chief Executive Officer, views the Company’s operations and manages its business on a consolidated basis as a single operating segment, which is the business of developing treatments for inflammatory diseases, with an initial focus on severe respiratory disorders. Revenue is generated exclusively from certain transactions with Maruho located in Japan and all assets are held in the United States (Note 18).</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6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Research and development expenses are expensed as incurred. Research and development expenses include salaries and benefits, stock-based compensation expense, licensed technology, external costs of third-party vendors that conduct research and development activity on behalf of the Company, and other operational costs related to the Company’s research and development activities including costs related to a research and development arrangement with Maruho.</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Prepaid and accrued research and development expenses</w:t>
      </w:r>
    </w:p>
    <w:p>
      <w:pPr>
        <w:spacing w:after="0" w:line="160"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Company recognizes research and development expense and records accruals for estimated costs of research and development activities conducted by third-party service providers, which include CROs that conduct research, preclinical studies and clinical trials on the Company’s behalf, including in connection with the Company’s research and development arrangement, and CMOs that manufacture the Company’s product candidate for use in preclinical and clinical trials. The majority of the Company’s service providers invoice in arrears for services performed, on a pre-determined schedule or when contractual milestones are met; however, some require advanced payments. The Company makes estimates of the accrued expenses and includes these costs in accrued liabilities in the consolidated balance sheets and within research and development expense in the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F-12</w:t>
      </w:r>
    </w:p>
    <w:p>
      <w:pPr>
        <w:sectPr>
          <w:pgSz w:w="12240" w:h="15840" w:orient="portrait"/>
          <w:cols w:equalWidth="0" w:num="1">
            <w:col w:w="10440"/>
          </w:cols>
          <w:pgMar w:left="900" w:top="696" w:right="900" w:bottom="175" w:gutter="0" w:footer="0" w:header="0"/>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color w:val="auto"/>
        </w:rPr>
        <w:t>consolidated statements of operations and comprehensive loss based on facts and circumstances known to the Company at that time. These costs are a significant component of the Company’s research and development expenses.</w:t>
      </w:r>
    </w:p>
    <w:p>
      <w:pPr>
        <w:spacing w:after="0" w:line="8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Company accrues for these costs based on factors such as estimates of the amount of work completed through discussions with internal personnel and external service providers as to the progress or stage of completion of the services and in accordance with agreements established with its third-party service providers for such services. The Company makes significant judgments and estimates in determining the accrued research and development liabilities balance at each reporting period. As actual costs become known, the Company adjusts its accrued estimates. To date, there have been no material adjustments to the Company’s estimates of accrued research and development expenses. The Company records advance payments to service providers as prepaid expenses and other current assets, which are expensed as the contracted services are performed. If the actual timing of the performance of services varies from the estimate, then the Company adjusts the amount of the accrued expense or the prepaid expense accordingly.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6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General and administrative expenses consist primarily of salaries and benefits, including stock-based compensation expense; professional fees for legal, accounting, auditing, tax and consulting services; travel expenses; and facility-related expenses, which include expenses for rent and maintenance of facilities and other operating costs. The Company expenses all general and administrative expenses as incurred.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and trademarks</w:t>
      </w:r>
    </w:p>
    <w:p>
      <w:pPr>
        <w:spacing w:after="0" w:line="16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Costs to secure, defend and maintain patents, including those in connection with filing and prosecuting patent applications are expensed as incurred due to the uncertainty about the recovery of the expenditure. Amounts incurred are classified as general and administrative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6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 measures all stock-based awards granted to employees, directors, and non-employee service providers based on fair value on the date of the grant, and recognizes the resulting fair value over the requisite service period. The Company uses the Black-Scholes option-pricing model to estimate the fair value of stock options granted. The Company has elected to recognize stock-based compensation expense for service-based stock options with graded vesting on a straight-line basis over the requisite service period, which is generally the vesting period. The Company recognizes expense related to stock options that contain performance conditions only when it is considered probable that the performance condition will be achieved. Stock-based compensation expense for stock options with performance conditions is recognized using graded vesting. The Company accounts for forfeitures as they occur.</w:t>
      </w:r>
    </w:p>
    <w:p>
      <w:pPr>
        <w:spacing w:after="0" w:line="12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6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Comprehensive loss is defined as the change in equity of a business enterprise during a period from transactions and other events and circumstances from nonowner sources, including unrealized gains and losses on marketable securities held as available for sale. For the years ended December 31, 2025 and 2024, comprehensive loss includes net loss and unrealized gains (losses) on short-term investments.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6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The Company calculated basic and diluted net loss per share attributable to common stockholders in conformity with the two-class method required for companies with participating securities. The Company’s Preferred Stock is considered to be a participating security as the holders are entitled to receive dividends at a dividend rate payable in preference and priority to the holders of common stock.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has been distributed. There is no</w:t>
      </w:r>
    </w:p>
    <w:p>
      <w:pPr>
        <w:sectPr>
          <w:pgSz w:w="12240" w:h="15840" w:orient="portrait"/>
          <w:cols w:equalWidth="0" w:num="1">
            <w:col w:w="10400"/>
          </w:cols>
          <w:pgMar w:left="900" w:top="696" w:right="940" w:bottom="187"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10400"/>
          </w:cols>
          <w:pgMar w:left="900" w:top="696" w:right="940" w:bottom="187" w:gutter="0" w:footer="0" w:header="0"/>
          <w:type w:val="continuous"/>
        </w:sectPr>
      </w:pPr>
    </w:p>
    <w:bookmarkStart w:id="144" w:name="page145"/>
    <w:bookmarkEnd w:id="144"/>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allocation required under the two-class method during periods of loss since the participating securities do not have a contractual obligation to share in the losses of the Company.</w:t>
      </w:r>
    </w:p>
    <w:p>
      <w:pPr>
        <w:spacing w:after="0" w:line="88"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Under the two-class method, 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(i) adjusting net loss attributable to common stockholders to reallocate undistributed earnings based on the potential impact of dilutive securities and (ii) dividing the diluted net loss attributable to common stockholders by the weighted-average number of common shares outstanding for the period, including potential dilutive common shares. For purposes of this calculation, Preferred Stock and stock options to purchase common stock are considered potential dilutive common shares.</w:t>
      </w:r>
    </w:p>
    <w:p>
      <w:pPr>
        <w:spacing w:after="0" w:line="120" w:lineRule="exact"/>
        <w:rPr>
          <w:sz w:val="20"/>
          <w:szCs w:val="20"/>
          <w:color w:val="auto"/>
        </w:rPr>
      </w:pPr>
    </w:p>
    <w:p>
      <w:pPr>
        <w:jc w:val="both"/>
        <w:ind w:right="600"/>
        <w:spacing w:after="0" w:line="258" w:lineRule="auto"/>
        <w:rPr>
          <w:sz w:val="20"/>
          <w:szCs w:val="20"/>
          <w:color w:val="auto"/>
        </w:rPr>
      </w:pPr>
      <w:r>
        <w:rPr>
          <w:rFonts w:ascii="Times New Roman" w:cs="Times New Roman" w:eastAsia="Times New Roman" w:hAnsi="Times New Roman"/>
          <w:sz w:val="20"/>
          <w:szCs w:val="20"/>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61"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0"/>
          <w:szCs w:val="20"/>
          <w:color w:val="auto"/>
        </w:rPr>
        <w:t>The Company accounts for income taxes under the asset and liability method.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Realization of deferred tax assets is dependent upon future earnings, the timing and amount of which are uncertain. The effect of a change in tax rates on deferred tax assets and liabilities is recognized in income in the period that includes the enactment date.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24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Income Taxes (Topic 740): </w:t>
      </w:r>
      <w:r>
        <w:rPr>
          <w:rFonts w:ascii="Times New Roman" w:cs="Times New Roman" w:eastAsia="Times New Roman" w:hAnsi="Times New Roman"/>
          <w:sz w:val="20"/>
          <w:szCs w:val="20"/>
          <w:i w:val="1"/>
          <w:iCs w:val="1"/>
          <w:color w:val="auto"/>
        </w:rPr>
        <w:t>Improvements to Income Tax Disclosures</w:t>
      </w:r>
      <w:r>
        <w:rPr>
          <w:rFonts w:ascii="Times New Roman" w:cs="Times New Roman" w:eastAsia="Times New Roman" w:hAnsi="Times New Roman"/>
          <w:sz w:val="20"/>
          <w:szCs w:val="20"/>
          <w:color w:val="auto"/>
        </w:rPr>
        <w:t>, which focuses on the rate reconciliation and income taxes paid. ASU No.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has the option to adopt this ASU prospectively or retrospectively. As of December 31, 2025, the Company adopted this new ASU retrospectively and it only impacts the Company's income tax disclosures with no impact to its operations, cash flows, or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10440"/>
          </w:cols>
          <w:pgMar w:left="900" w:top="696" w:right="900" w:bottom="187"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can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20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Disaggregation of Income Statement Expenses</w:t>
      </w:r>
      <w:r>
        <w:rPr>
          <w:rFonts w:ascii="Times New Roman" w:cs="Times New Roman" w:eastAsia="Times New Roman" w:hAnsi="Times New Roman"/>
          <w:sz w:val="20"/>
          <w:szCs w:val="20"/>
          <w:color w:val="auto"/>
        </w:rPr>
        <w:t>, which requires more detailed information about specified categories of expenses (purchases of inventory, employee compensation, depreciation, amortization, and depletion)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currently evaluating the impact of adopting this ASU on its consolidated financial statements and related disclosures.</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Fair value measurements</w:t>
      </w:r>
    </w:p>
    <w:p>
      <w:pPr>
        <w:spacing w:after="0" w:line="124" w:lineRule="exact"/>
        <w:rPr>
          <w:sz w:val="20"/>
          <w:szCs w:val="20"/>
          <w:color w:val="auto"/>
        </w:rPr>
      </w:pPr>
    </w:p>
    <w:p>
      <w:pPr>
        <w:ind w:right="780"/>
        <w:spacing w:after="0" w:line="277" w:lineRule="auto"/>
        <w:rPr>
          <w:sz w:val="20"/>
          <w:szCs w:val="20"/>
          <w:color w:val="auto"/>
        </w:rPr>
      </w:pPr>
      <w:r>
        <w:rPr>
          <w:rFonts w:ascii="Times New Roman" w:cs="Times New Roman" w:eastAsia="Times New Roman" w:hAnsi="Times New Roman"/>
          <w:sz w:val="20"/>
          <w:szCs w:val="20"/>
          <w:color w:val="auto"/>
        </w:rPr>
        <w:t>The following tables present information about the Company’s financial assets and liabilities measured at fair value on a recurring basis and indicate the level of the fair value hierarchy used to determine such fair values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6"/>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w w:val="99"/>
              </w:rPr>
              <w:t>Fair Value Measurements at</w:t>
            </w:r>
          </w:p>
        </w:tc>
        <w:tc>
          <w:tcPr>
            <w:tcW w:w="25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5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82"/>
        </w:trPr>
        <w:tc>
          <w:tcPr>
            <w:tcW w:w="4860" w:type="dxa"/>
            <w:vAlign w:val="bottom"/>
            <w:tcBorders>
              <w:bottom w:val="single" w:sz="8" w:color="D4EFF4"/>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3"/>
              <w:spacing w:after="0" w:line="178"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7"/>
              <w:spacing w:after="0" w:line="178"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90" w:type="dxa"/>
            <w:vAlign w:val="bottom"/>
            <w:tcBorders>
              <w:bottom w:val="single" w:sz="8" w:color="auto"/>
            </w:tcBorders>
          </w:tcPr>
          <w:p>
            <w:pPr>
              <w:ind w:left="210"/>
              <w:spacing w:after="0" w:line="178"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5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60"/>
              <w:spacing w:after="0" w:line="178"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48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Assets: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48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Cash equivalents:</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25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r>
      <w:tr>
        <w:trPr>
          <w:trHeight w:val="225"/>
        </w:trPr>
        <w:tc>
          <w:tcPr>
            <w:tcW w:w="4860" w:type="dxa"/>
            <w:vAlign w:val="bottom"/>
            <w:shd w:val="clear" w:color="auto" w:fill="D4EFF4"/>
          </w:tcPr>
          <w:p>
            <w:pPr>
              <w:ind w:left="400"/>
              <w:spacing w:after="0" w:line="225" w:lineRule="exact"/>
              <w:rPr>
                <w:sz w:val="20"/>
                <w:szCs w:val="20"/>
                <w:color w:val="auto"/>
              </w:rPr>
            </w:pPr>
            <w:r>
              <w:rPr>
                <w:rFonts w:ascii="Times New Roman" w:cs="Times New Roman" w:eastAsia="Times New Roman" w:hAnsi="Times New Roman"/>
                <w:sz w:val="20"/>
                <w:szCs w:val="20"/>
                <w:color w:val="auto"/>
              </w:rPr>
              <w:t>Money market funds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85,866</w:t>
            </w: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ind w:left="4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85,866</w:t>
            </w:r>
          </w:p>
        </w:tc>
        <w:tc>
          <w:tcPr>
            <w:tcW w:w="120" w:type="dxa"/>
            <w:vAlign w:val="bottom"/>
            <w:shd w:val="clear" w:color="auto" w:fill="D4EFF4"/>
          </w:tcPr>
          <w:p>
            <w:pPr>
              <w:spacing w:after="0"/>
              <w:rPr>
                <w:sz w:val="19"/>
                <w:szCs w:val="19"/>
                <w:color w:val="auto"/>
              </w:rPr>
            </w:pPr>
          </w:p>
        </w:tc>
      </w:tr>
      <w:tr>
        <w:trPr>
          <w:trHeight w:val="244"/>
        </w:trPr>
        <w:tc>
          <w:tcPr>
            <w:tcW w:w="48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U.S. treasury securities</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14,991</w:t>
            </w:r>
          </w:p>
        </w:tc>
        <w:tc>
          <w:tcPr>
            <w:tcW w:w="1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14,991</w:t>
            </w:r>
          </w:p>
        </w:tc>
        <w:tc>
          <w:tcPr>
            <w:tcW w:w="120" w:type="dxa"/>
            <w:vAlign w:val="bottom"/>
            <w:tcBorders>
              <w:bottom w:val="single" w:sz="8" w:color="D4EFF4"/>
            </w:tcBorders>
          </w:tcPr>
          <w:p>
            <w:pPr>
              <w:spacing w:after="0"/>
              <w:rPr>
                <w:sz w:val="21"/>
                <w:szCs w:val="21"/>
                <w:color w:val="auto"/>
              </w:rPr>
            </w:pPr>
          </w:p>
        </w:tc>
      </w:tr>
      <w:tr>
        <w:trPr>
          <w:trHeight w:val="224"/>
        </w:trPr>
        <w:tc>
          <w:tcPr>
            <w:tcW w:w="486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Short-term investments: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48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U.S. treasury securities</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159,455</w:t>
            </w:r>
          </w:p>
        </w:tc>
        <w:tc>
          <w:tcPr>
            <w:tcW w:w="1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159,455</w:t>
            </w:r>
          </w:p>
        </w:tc>
        <w:tc>
          <w:tcPr>
            <w:tcW w:w="120" w:type="dxa"/>
            <w:vAlign w:val="bottom"/>
            <w:tcBorders>
              <w:bottom w:val="single" w:sz="8" w:color="D4EFF4"/>
            </w:tcBorders>
          </w:tcPr>
          <w:p>
            <w:pPr>
              <w:spacing w:after="0"/>
              <w:rPr>
                <w:sz w:val="21"/>
                <w:szCs w:val="21"/>
                <w:color w:val="auto"/>
              </w:rPr>
            </w:pPr>
          </w:p>
        </w:tc>
      </w:tr>
      <w:tr>
        <w:trPr>
          <w:trHeight w:val="225"/>
        </w:trPr>
        <w:tc>
          <w:tcPr>
            <w:tcW w:w="4860" w:type="dxa"/>
            <w:vAlign w:val="bottom"/>
            <w:shd w:val="clear" w:color="auto" w:fill="D4EFF4"/>
          </w:tcPr>
          <w:p>
            <w:pPr>
              <w:ind w:left="400"/>
              <w:spacing w:after="0" w:line="225" w:lineRule="exact"/>
              <w:rPr>
                <w:sz w:val="20"/>
                <w:szCs w:val="20"/>
                <w:color w:val="auto"/>
              </w:rPr>
            </w:pPr>
            <w:r>
              <w:rPr>
                <w:rFonts w:ascii="Times New Roman" w:cs="Times New Roman" w:eastAsia="Times New Roman" w:hAnsi="Times New Roman"/>
                <w:sz w:val="20"/>
                <w:szCs w:val="20"/>
                <w:color w:val="auto"/>
              </w:rPr>
              <w:t>Corporate debt securities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75,216</w:t>
            </w: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ind w:left="4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75,216</w:t>
            </w:r>
          </w:p>
        </w:tc>
        <w:tc>
          <w:tcPr>
            <w:tcW w:w="120" w:type="dxa"/>
            <w:vAlign w:val="bottom"/>
            <w:shd w:val="clear" w:color="auto" w:fill="D4EFF4"/>
          </w:tcPr>
          <w:p>
            <w:pPr>
              <w:spacing w:after="0"/>
              <w:rPr>
                <w:sz w:val="19"/>
                <w:szCs w:val="19"/>
                <w:color w:val="auto"/>
              </w:rPr>
            </w:pPr>
          </w:p>
        </w:tc>
      </w:tr>
      <w:tr>
        <w:trPr>
          <w:trHeight w:val="289"/>
        </w:trPr>
        <w:tc>
          <w:tcPr>
            <w:tcW w:w="48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Government agency bonds</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10" w:type="dxa"/>
            <w:vAlign w:val="bottom"/>
            <w:tcBorders>
              <w:bottom w:val="single" w:sz="8" w:color="auto"/>
            </w:tcBorders>
          </w:tcPr>
          <w:p>
            <w:pPr>
              <w:spacing w:after="0"/>
              <w:rPr>
                <w:sz w:val="24"/>
                <w:szCs w:val="24"/>
                <w:color w:val="auto"/>
              </w:rPr>
            </w:pPr>
          </w:p>
        </w:tc>
        <w:tc>
          <w:tcPr>
            <w:tcW w:w="79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120" w:type="dxa"/>
            <w:vAlign w:val="bottom"/>
            <w:tcBorders>
              <w:bottom w:val="single" w:sz="8" w:color="auto"/>
            </w:tcBorders>
          </w:tcPr>
          <w:p>
            <w:pPr>
              <w:spacing w:after="0"/>
              <w:rPr>
                <w:sz w:val="24"/>
                <w:szCs w:val="24"/>
                <w:color w:val="auto"/>
              </w:rPr>
            </w:pPr>
          </w:p>
        </w:tc>
      </w:tr>
      <w:tr>
        <w:trPr>
          <w:trHeight w:val="196"/>
        </w:trPr>
        <w:tc>
          <w:tcPr>
            <w:tcW w:w="4860" w:type="dxa"/>
            <w:vAlign w:val="bottom"/>
            <w:tcBorders>
              <w:top w:val="single" w:sz="8" w:color="D4EFF4"/>
            </w:tcBorders>
            <w:shd w:val="clear" w:color="auto" w:fill="D4EFF4"/>
          </w:tcPr>
          <w:p>
            <w:pPr>
              <w:spacing w:after="0"/>
              <w:rPr>
                <w:sz w:val="17"/>
                <w:szCs w:val="17"/>
                <w:color w:val="auto"/>
              </w:rPr>
            </w:pPr>
          </w:p>
        </w:tc>
        <w:tc>
          <w:tcPr>
            <w:tcW w:w="12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bottom w:val="single" w:sz="8" w:color="auto"/>
            </w:tcBorders>
            <w:shd w:val="clear" w:color="auto" w:fill="D4EFF4"/>
          </w:tcPr>
          <w:p>
            <w:pPr>
              <w:spacing w:after="0"/>
              <w:rPr>
                <w:sz w:val="17"/>
                <w:szCs w:val="17"/>
                <w:color w:val="auto"/>
              </w:rPr>
            </w:pPr>
          </w:p>
        </w:tc>
        <w:tc>
          <w:tcPr>
            <w:tcW w:w="100" w:type="dxa"/>
            <w:vAlign w:val="bottom"/>
            <w:tcBorders>
              <w:top w:val="single" w:sz="8" w:color="D4EFF4"/>
              <w:bottom w:val="single" w:sz="8" w:color="auto"/>
            </w:tcBorders>
            <w:shd w:val="clear" w:color="auto" w:fill="D4EFF4"/>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tcBorders>
              <w:top w:val="single" w:sz="8" w:color="D4EFF4"/>
              <w:bottom w:val="single" w:sz="8" w:color="auto"/>
            </w:tcBorders>
            <w:shd w:val="clear" w:color="auto" w:fill="D4EFF4"/>
          </w:tcPr>
          <w:p>
            <w:pPr>
              <w:jc w:val="right"/>
              <w:spacing w:after="0" w:line="196" w:lineRule="exact"/>
              <w:rPr>
                <w:sz w:val="20"/>
                <w:szCs w:val="20"/>
                <w:color w:val="auto"/>
              </w:rPr>
            </w:pPr>
            <w:r>
              <w:rPr>
                <w:rFonts w:ascii="Times New Roman" w:cs="Times New Roman" w:eastAsia="Times New Roman" w:hAnsi="Times New Roman"/>
                <w:sz w:val="20"/>
                <w:szCs w:val="20"/>
                <w:color w:val="auto"/>
              </w:rPr>
              <w:t>85,866</w:t>
            </w:r>
          </w:p>
        </w:tc>
        <w:tc>
          <w:tcPr>
            <w:tcW w:w="120" w:type="dxa"/>
            <w:vAlign w:val="bottom"/>
            <w:tcBorders>
              <w:top w:val="single" w:sz="8" w:color="D4EFF4"/>
              <w:bottom w:val="single" w:sz="8" w:color="auto"/>
            </w:tcBorders>
            <w:shd w:val="clear" w:color="auto" w:fill="D4EFF4"/>
          </w:tcPr>
          <w:p>
            <w:pPr>
              <w:spacing w:after="0"/>
              <w:rPr>
                <w:sz w:val="17"/>
                <w:szCs w:val="17"/>
                <w:color w:val="auto"/>
              </w:rPr>
            </w:pPr>
          </w:p>
        </w:tc>
        <w:tc>
          <w:tcPr>
            <w:tcW w:w="12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bottom w:val="single" w:sz="8" w:color="auto"/>
            </w:tcBorders>
            <w:shd w:val="clear" w:color="auto" w:fill="D4EFF4"/>
          </w:tcPr>
          <w:p>
            <w:pPr>
              <w:spacing w:after="0"/>
              <w:rPr>
                <w:sz w:val="17"/>
                <w:szCs w:val="17"/>
                <w:color w:val="auto"/>
              </w:rPr>
            </w:pPr>
          </w:p>
        </w:tc>
        <w:tc>
          <w:tcPr>
            <w:tcW w:w="100" w:type="dxa"/>
            <w:vAlign w:val="bottom"/>
            <w:tcBorders>
              <w:top w:val="single" w:sz="8" w:color="D4EFF4"/>
              <w:bottom w:val="single" w:sz="8" w:color="auto"/>
            </w:tcBorders>
            <w:shd w:val="clear" w:color="auto" w:fill="D4EFF4"/>
          </w:tcPr>
          <w:p>
            <w:pPr>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tcBorders>
              <w:top w:val="single" w:sz="8" w:color="D4EFF4"/>
              <w:bottom w:val="single" w:sz="8" w:color="auto"/>
            </w:tcBorders>
            <w:shd w:val="clear" w:color="auto" w:fill="D4EFF4"/>
          </w:tcPr>
          <w:p>
            <w:pPr>
              <w:jc w:val="right"/>
              <w:spacing w:after="0" w:line="196" w:lineRule="exact"/>
              <w:rPr>
                <w:sz w:val="20"/>
                <w:szCs w:val="20"/>
                <w:color w:val="auto"/>
              </w:rPr>
            </w:pPr>
            <w:r>
              <w:rPr>
                <w:rFonts w:ascii="Times New Roman" w:cs="Times New Roman" w:eastAsia="Times New Roman" w:hAnsi="Times New Roman"/>
                <w:sz w:val="20"/>
                <w:szCs w:val="20"/>
                <w:color w:val="auto"/>
              </w:rPr>
              <w:t>254,922</w:t>
            </w:r>
          </w:p>
        </w:tc>
        <w:tc>
          <w:tcPr>
            <w:tcW w:w="100" w:type="dxa"/>
            <w:vAlign w:val="bottom"/>
            <w:tcBorders>
              <w:top w:val="single" w:sz="8" w:color="D4EFF4"/>
              <w:bottom w:val="single" w:sz="8" w:color="auto"/>
            </w:tcBorders>
            <w:shd w:val="clear" w:color="auto" w:fill="D4EFF4"/>
          </w:tcPr>
          <w:p>
            <w:pPr>
              <w:spacing w:after="0"/>
              <w:rPr>
                <w:sz w:val="17"/>
                <w:szCs w:val="17"/>
                <w:color w:val="auto"/>
              </w:rPr>
            </w:pPr>
          </w:p>
        </w:tc>
        <w:tc>
          <w:tcPr>
            <w:tcW w:w="12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bottom w:val="single" w:sz="8" w:color="auto"/>
            </w:tcBorders>
            <w:shd w:val="clear" w:color="auto" w:fill="D4EFF4"/>
          </w:tcPr>
          <w:p>
            <w:pPr>
              <w:spacing w:after="0"/>
              <w:rPr>
                <w:sz w:val="17"/>
                <w:szCs w:val="17"/>
                <w:color w:val="auto"/>
              </w:rPr>
            </w:pPr>
          </w:p>
        </w:tc>
        <w:tc>
          <w:tcPr>
            <w:tcW w:w="110" w:type="dxa"/>
            <w:vAlign w:val="bottom"/>
            <w:tcBorders>
              <w:top w:val="single" w:sz="8" w:color="D4EFF4"/>
              <w:bottom w:val="single" w:sz="8" w:color="auto"/>
            </w:tcBorders>
            <w:shd w:val="clear" w:color="auto" w:fill="D4EFF4"/>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90" w:type="dxa"/>
            <w:vAlign w:val="bottom"/>
            <w:tcBorders>
              <w:top w:val="single" w:sz="8" w:color="D4EFF4"/>
              <w:bottom w:val="single" w:sz="8" w:color="auto"/>
            </w:tcBorders>
            <w:shd w:val="clear" w:color="auto" w:fill="D4EFF4"/>
          </w:tcPr>
          <w:p>
            <w:pPr>
              <w:spacing w:after="0"/>
              <w:rPr>
                <w:sz w:val="17"/>
                <w:szCs w:val="17"/>
                <w:color w:val="auto"/>
              </w:rPr>
            </w:pPr>
          </w:p>
        </w:tc>
        <w:tc>
          <w:tcPr>
            <w:tcW w:w="250" w:type="dxa"/>
            <w:vAlign w:val="bottom"/>
            <w:tcBorders>
              <w:top w:val="single" w:sz="8" w:color="D4EFF4"/>
              <w:bottom w:val="single" w:sz="8" w:color="auto"/>
            </w:tcBorders>
            <w:shd w:val="clear" w:color="auto" w:fill="D4EFF4"/>
          </w:tcPr>
          <w:p>
            <w:pPr>
              <w:ind w:left="40"/>
              <w:spacing w:after="0" w:line="196" w:lineRule="exact"/>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tcBorders>
              <w:top w:val="single" w:sz="8" w:color="D4EFF4"/>
              <w:bottom w:val="single" w:sz="8" w:color="auto"/>
            </w:tcBorders>
            <w:shd w:val="clear" w:color="auto" w:fill="D4EFF4"/>
          </w:tcPr>
          <w:p>
            <w:pPr>
              <w:spacing w:after="0"/>
              <w:rPr>
                <w:sz w:val="17"/>
                <w:szCs w:val="17"/>
                <w:color w:val="auto"/>
              </w:rPr>
            </w:pPr>
          </w:p>
        </w:tc>
        <w:tc>
          <w:tcPr>
            <w:tcW w:w="12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bottom w:val="single" w:sz="8" w:color="auto"/>
            </w:tcBorders>
            <w:shd w:val="clear" w:color="auto" w:fill="D4EFF4"/>
          </w:tcPr>
          <w:p>
            <w:pPr>
              <w:spacing w:after="0"/>
              <w:rPr>
                <w:sz w:val="17"/>
                <w:szCs w:val="17"/>
                <w:color w:val="auto"/>
              </w:rPr>
            </w:pPr>
          </w:p>
        </w:tc>
        <w:tc>
          <w:tcPr>
            <w:tcW w:w="120" w:type="dxa"/>
            <w:vAlign w:val="bottom"/>
            <w:tcBorders>
              <w:top w:val="single" w:sz="8" w:color="D4EFF4"/>
              <w:bottom w:val="single" w:sz="8" w:color="auto"/>
            </w:tcBorders>
            <w:shd w:val="clear" w:color="auto" w:fill="D4EFF4"/>
          </w:tcPr>
          <w:p>
            <w:pPr>
              <w:jc w:val="right"/>
              <w:spacing w:after="0" w:line="19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tcBorders>
              <w:top w:val="single" w:sz="8" w:color="D4EFF4"/>
              <w:bottom w:val="single" w:sz="8" w:color="auto"/>
            </w:tcBorders>
            <w:shd w:val="clear" w:color="auto" w:fill="D4EFF4"/>
          </w:tcPr>
          <w:p>
            <w:pPr>
              <w:jc w:val="right"/>
              <w:spacing w:after="0" w:line="196" w:lineRule="exact"/>
              <w:rPr>
                <w:sz w:val="20"/>
                <w:szCs w:val="20"/>
                <w:color w:val="auto"/>
              </w:rPr>
            </w:pPr>
            <w:r>
              <w:rPr>
                <w:rFonts w:ascii="Times New Roman" w:cs="Times New Roman" w:eastAsia="Times New Roman" w:hAnsi="Times New Roman"/>
                <w:sz w:val="20"/>
                <w:szCs w:val="20"/>
                <w:color w:val="auto"/>
              </w:rPr>
              <w:t>340,788</w:t>
            </w:r>
          </w:p>
        </w:tc>
        <w:tc>
          <w:tcPr>
            <w:tcW w:w="120" w:type="dxa"/>
            <w:vAlign w:val="bottom"/>
            <w:tcBorders>
              <w:top w:val="single" w:sz="8" w:color="D4EFF4"/>
              <w:bottom w:val="single" w:sz="8" w:color="auto"/>
            </w:tcBorders>
            <w:shd w:val="clear" w:color="auto" w:fill="D4EFF4"/>
          </w:tcPr>
          <w:p>
            <w:pPr>
              <w:spacing w:after="0"/>
              <w:rPr>
                <w:sz w:val="17"/>
                <w:szCs w:val="17"/>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90" w:type="dxa"/>
            <w:vAlign w:val="bottom"/>
            <w:tcBorders>
              <w:bottom w:val="single" w:sz="8" w:color="auto"/>
            </w:tcBorders>
          </w:tcPr>
          <w:p>
            <w:pPr>
              <w:spacing w:after="0" w:line="20" w:lineRule="exact"/>
              <w:rPr>
                <w:sz w:val="1"/>
                <w:szCs w:val="1"/>
                <w:color w:val="auto"/>
              </w:rPr>
            </w:pPr>
          </w:p>
        </w:tc>
        <w:tc>
          <w:tcPr>
            <w:tcW w:w="25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439"/>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w w:val="99"/>
              </w:rPr>
              <w:t>Fair Value Measurements at</w:t>
            </w:r>
          </w:p>
        </w:tc>
        <w:tc>
          <w:tcPr>
            <w:tcW w:w="25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6"/>
          </w:tcPr>
          <w:p>
            <w:pPr>
              <w:jc w:val="center"/>
              <w:ind w:left="27"/>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50" w:type="dxa"/>
            <w:vAlign w:val="bottom"/>
            <w:tcBorders>
              <w:bottom w:val="single" w:sz="8" w:color="auto"/>
            </w:tcBorders>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82"/>
        </w:trPr>
        <w:tc>
          <w:tcPr>
            <w:tcW w:w="4860" w:type="dxa"/>
            <w:vAlign w:val="bottom"/>
            <w:tcBorders>
              <w:bottom w:val="single" w:sz="8" w:color="D4EFF4"/>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3"/>
              <w:spacing w:after="0" w:line="178" w:lineRule="exact"/>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47"/>
              <w:spacing w:after="0" w:line="178" w:lineRule="exact"/>
              <w:rPr>
                <w:sz w:val="20"/>
                <w:szCs w:val="20"/>
                <w:color w:val="auto"/>
              </w:rPr>
            </w:pPr>
            <w:r>
              <w:rPr>
                <w:rFonts w:ascii="Times New Roman" w:cs="Times New Roman" w:eastAsia="Times New Roman" w:hAnsi="Times New Roman"/>
                <w:sz w:val="16"/>
                <w:szCs w:val="16"/>
                <w:b w:val="1"/>
                <w:bCs w:val="1"/>
                <w:color w:val="auto"/>
              </w:rPr>
              <w:t>Level 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790" w:type="dxa"/>
            <w:vAlign w:val="bottom"/>
            <w:tcBorders>
              <w:bottom w:val="single" w:sz="8" w:color="auto"/>
            </w:tcBorders>
          </w:tcPr>
          <w:p>
            <w:pPr>
              <w:ind w:left="210"/>
              <w:spacing w:after="0" w:line="178" w:lineRule="exact"/>
              <w:rPr>
                <w:sz w:val="20"/>
                <w:szCs w:val="20"/>
                <w:color w:val="auto"/>
              </w:rPr>
            </w:pPr>
            <w:r>
              <w:rPr>
                <w:rFonts w:ascii="Times New Roman" w:cs="Times New Roman" w:eastAsia="Times New Roman" w:hAnsi="Times New Roman"/>
                <w:sz w:val="16"/>
                <w:szCs w:val="16"/>
                <w:b w:val="1"/>
                <w:bCs w:val="1"/>
                <w:color w:val="auto"/>
              </w:rPr>
              <w:t>Level 3</w:t>
            </w:r>
          </w:p>
        </w:tc>
        <w:tc>
          <w:tcPr>
            <w:tcW w:w="250" w:type="dxa"/>
            <w:vAlign w:val="bottom"/>
            <w:tcBorders>
              <w:bottom w:val="single" w:sz="8" w:color="auto"/>
            </w:tcBorders>
          </w:tcPr>
          <w:p>
            <w:pPr>
              <w:spacing w:after="0"/>
              <w:rPr>
                <w:sz w:val="15"/>
                <w:szCs w:val="15"/>
                <w:color w:val="auto"/>
              </w:rPr>
            </w:pPr>
          </w:p>
        </w:tc>
        <w:tc>
          <w:tcPr>
            <w:tcW w:w="110" w:type="dxa"/>
            <w:vAlign w:val="bottom"/>
            <w:tcBorders>
              <w:bottom w:val="single" w:sz="8" w:color="auto"/>
            </w:tcBorders>
          </w:tcPr>
          <w:p>
            <w:pPr>
              <w:spacing w:after="0"/>
              <w:rPr>
                <w:sz w:val="15"/>
                <w:szCs w:val="15"/>
                <w:color w:val="auto"/>
              </w:rPr>
            </w:pPr>
          </w:p>
        </w:tc>
        <w:tc>
          <w:tcPr>
            <w:tcW w:w="120" w:type="dxa"/>
            <w:vAlign w:val="bottom"/>
            <w:tcBorders>
              <w:bottom w:val="single" w:sz="8" w:color="D4EFF4"/>
            </w:tcBorders>
          </w:tcPr>
          <w:p>
            <w:pPr>
              <w:spacing w:after="0"/>
              <w:rPr>
                <w:sz w:val="15"/>
                <w:szCs w:val="15"/>
                <w:color w:val="auto"/>
              </w:rPr>
            </w:pPr>
          </w:p>
        </w:tc>
        <w:tc>
          <w:tcPr>
            <w:tcW w:w="20" w:type="dxa"/>
            <w:vAlign w:val="bottom"/>
            <w:tcBorders>
              <w:bottom w:val="single" w:sz="8" w:color="D4EFF4"/>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260"/>
              <w:spacing w:after="0" w:line="178"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229"/>
        </w:trPr>
        <w:tc>
          <w:tcPr>
            <w:tcW w:w="48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Assets: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48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Cash equivalents:</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25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r>
      <w:tr>
        <w:trPr>
          <w:trHeight w:val="225"/>
        </w:trPr>
        <w:tc>
          <w:tcPr>
            <w:tcW w:w="4860" w:type="dxa"/>
            <w:vAlign w:val="bottom"/>
            <w:shd w:val="clear" w:color="auto" w:fill="D4EFF4"/>
          </w:tcPr>
          <w:p>
            <w:pPr>
              <w:ind w:left="400"/>
              <w:spacing w:after="0" w:line="225" w:lineRule="exact"/>
              <w:rPr>
                <w:sz w:val="20"/>
                <w:szCs w:val="20"/>
                <w:color w:val="auto"/>
              </w:rPr>
            </w:pPr>
            <w:r>
              <w:rPr>
                <w:rFonts w:ascii="Times New Roman" w:cs="Times New Roman" w:eastAsia="Times New Roman" w:hAnsi="Times New Roman"/>
                <w:sz w:val="20"/>
                <w:szCs w:val="20"/>
                <w:color w:val="auto"/>
              </w:rPr>
              <w:t>Money market funds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321,047</w:t>
            </w: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ind w:left="40"/>
              <w:spacing w:after="0" w:line="225" w:lineRule="exact"/>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321,047</w:t>
            </w:r>
          </w:p>
        </w:tc>
        <w:tc>
          <w:tcPr>
            <w:tcW w:w="120" w:type="dxa"/>
            <w:vAlign w:val="bottom"/>
            <w:shd w:val="clear" w:color="auto" w:fill="D4EFF4"/>
          </w:tcPr>
          <w:p>
            <w:pPr>
              <w:spacing w:after="0"/>
              <w:rPr>
                <w:sz w:val="19"/>
                <w:szCs w:val="19"/>
                <w:color w:val="auto"/>
              </w:rPr>
            </w:pPr>
          </w:p>
        </w:tc>
      </w:tr>
      <w:tr>
        <w:trPr>
          <w:trHeight w:val="244"/>
        </w:trPr>
        <w:tc>
          <w:tcPr>
            <w:tcW w:w="48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U.S. treasury bills</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4,173</w:t>
            </w:r>
          </w:p>
        </w:tc>
        <w:tc>
          <w:tcPr>
            <w:tcW w:w="1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360" w:type="dxa"/>
            <w:vAlign w:val="bottom"/>
            <w:tcBorders>
              <w:bottom w:val="single" w:sz="8" w:color="D4EFF4"/>
            </w:tcBorders>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4,173</w:t>
            </w:r>
          </w:p>
        </w:tc>
        <w:tc>
          <w:tcPr>
            <w:tcW w:w="120" w:type="dxa"/>
            <w:vAlign w:val="bottom"/>
            <w:tcBorders>
              <w:bottom w:val="single" w:sz="8" w:color="D4EFF4"/>
            </w:tcBorders>
          </w:tcPr>
          <w:p>
            <w:pPr>
              <w:spacing w:after="0"/>
              <w:rPr>
                <w:sz w:val="21"/>
                <w:szCs w:val="21"/>
                <w:color w:val="auto"/>
              </w:rPr>
            </w:pPr>
          </w:p>
        </w:tc>
      </w:tr>
      <w:tr>
        <w:trPr>
          <w:trHeight w:val="224"/>
        </w:trPr>
        <w:tc>
          <w:tcPr>
            <w:tcW w:w="486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Short-term investments: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790" w:type="dxa"/>
            <w:vAlign w:val="bottom"/>
            <w:shd w:val="clear" w:color="auto" w:fill="D4EFF4"/>
          </w:tcPr>
          <w:p>
            <w:pPr>
              <w:spacing w:after="0"/>
              <w:rPr>
                <w:sz w:val="19"/>
                <w:szCs w:val="19"/>
                <w:color w:val="auto"/>
              </w:rPr>
            </w:pPr>
          </w:p>
        </w:tc>
        <w:tc>
          <w:tcPr>
            <w:tcW w:w="2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5"/>
        </w:trPr>
        <w:tc>
          <w:tcPr>
            <w:tcW w:w="48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U.S. treasury bills</w:t>
            </w: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77,165</w:t>
            </w:r>
          </w:p>
        </w:tc>
        <w:tc>
          <w:tcPr>
            <w:tcW w:w="10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D4EFF4"/>
            </w:tcBorders>
          </w:tcPr>
          <w:p>
            <w:pPr>
              <w:spacing w:after="0"/>
              <w:rPr>
                <w:sz w:val="21"/>
                <w:szCs w:val="21"/>
                <w:color w:val="auto"/>
              </w:rPr>
            </w:pPr>
          </w:p>
        </w:tc>
        <w:tc>
          <w:tcPr>
            <w:tcW w:w="790" w:type="dxa"/>
            <w:vAlign w:val="bottom"/>
            <w:tcBorders>
              <w:bottom w:val="single" w:sz="8" w:color="D4EFF4"/>
            </w:tcBorders>
          </w:tcPr>
          <w:p>
            <w:pPr>
              <w:spacing w:after="0"/>
              <w:rPr>
                <w:sz w:val="21"/>
                <w:szCs w:val="21"/>
                <w:color w:val="auto"/>
              </w:rPr>
            </w:pPr>
          </w:p>
        </w:tc>
        <w:tc>
          <w:tcPr>
            <w:tcW w:w="250" w:type="dxa"/>
            <w:vAlign w:val="bottom"/>
            <w:tcBorders>
              <w:bottom w:val="single" w:sz="8" w:color="D4EFF4"/>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0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77,165</w:t>
            </w:r>
          </w:p>
        </w:tc>
        <w:tc>
          <w:tcPr>
            <w:tcW w:w="120" w:type="dxa"/>
            <w:vAlign w:val="bottom"/>
            <w:tcBorders>
              <w:bottom w:val="single" w:sz="8" w:color="D4EFF4"/>
            </w:tcBorders>
          </w:tcPr>
          <w:p>
            <w:pPr>
              <w:spacing w:after="0"/>
              <w:rPr>
                <w:sz w:val="21"/>
                <w:szCs w:val="21"/>
                <w:color w:val="auto"/>
              </w:rPr>
            </w:pPr>
          </w:p>
        </w:tc>
      </w:tr>
      <w:tr>
        <w:trPr>
          <w:trHeight w:val="224"/>
        </w:trPr>
        <w:tc>
          <w:tcPr>
            <w:tcW w:w="4860" w:type="dxa"/>
            <w:vAlign w:val="bottom"/>
            <w:shd w:val="clear" w:color="auto" w:fill="D4EFF4"/>
          </w:tcPr>
          <w:p>
            <w:pPr>
              <w:ind w:left="400"/>
              <w:spacing w:after="0" w:line="224" w:lineRule="exact"/>
              <w:rPr>
                <w:sz w:val="20"/>
                <w:szCs w:val="20"/>
                <w:color w:val="auto"/>
              </w:rPr>
            </w:pPr>
            <w:r>
              <w:rPr>
                <w:rFonts w:ascii="Times New Roman" w:cs="Times New Roman" w:eastAsia="Times New Roman" w:hAnsi="Times New Roman"/>
                <w:sz w:val="20"/>
                <w:szCs w:val="20"/>
                <w:color w:val="auto"/>
              </w:rPr>
              <w:t>U.S. government agency bonds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04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04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67,394</w:t>
            </w:r>
          </w:p>
        </w:tc>
        <w:tc>
          <w:tcPr>
            <w:tcW w:w="100" w:type="dxa"/>
            <w:vAlign w:val="bottom"/>
            <w:tcBorders>
              <w:bottom w:val="single" w:sz="8" w:color="auto"/>
            </w:tcBorders>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10" w:type="dxa"/>
            <w:vAlign w:val="bottom"/>
            <w:tcBorders>
              <w:bottom w:val="single" w:sz="8" w:color="auto"/>
            </w:tcBorders>
            <w:shd w:val="clear" w:color="auto" w:fill="D4EFF4"/>
          </w:tcPr>
          <w:p>
            <w:pPr>
              <w:spacing w:after="0"/>
              <w:rPr>
                <w:sz w:val="19"/>
                <w:szCs w:val="19"/>
                <w:color w:val="auto"/>
              </w:rPr>
            </w:pPr>
          </w:p>
        </w:tc>
        <w:tc>
          <w:tcPr>
            <w:tcW w:w="790" w:type="dxa"/>
            <w:vAlign w:val="bottom"/>
            <w:tcBorders>
              <w:bottom w:val="single" w:sz="8" w:color="auto"/>
            </w:tcBorders>
            <w:shd w:val="clear" w:color="auto" w:fill="D4EFF4"/>
          </w:tcPr>
          <w:p>
            <w:pPr>
              <w:spacing w:after="0"/>
              <w:rPr>
                <w:sz w:val="19"/>
                <w:szCs w:val="19"/>
                <w:color w:val="auto"/>
              </w:rPr>
            </w:pPr>
          </w:p>
        </w:tc>
        <w:tc>
          <w:tcPr>
            <w:tcW w:w="250" w:type="dxa"/>
            <w:vAlign w:val="bottom"/>
            <w:tcBorders>
              <w:bottom w:val="single" w:sz="8" w:color="auto"/>
            </w:tcBorders>
            <w:shd w:val="clear" w:color="auto" w:fill="D4EFF4"/>
          </w:tcPr>
          <w:p>
            <w:pPr>
              <w:ind w:left="4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110" w:type="dxa"/>
            <w:vAlign w:val="bottom"/>
            <w:tcBorders>
              <w:bottom w:val="single" w:sz="8" w:color="auto"/>
            </w:tcBorders>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102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67,394</w:t>
            </w:r>
          </w:p>
        </w:tc>
        <w:tc>
          <w:tcPr>
            <w:tcW w:w="120" w:type="dxa"/>
            <w:vAlign w:val="bottom"/>
            <w:tcBorders>
              <w:bottom w:val="single" w:sz="8" w:color="auto"/>
            </w:tcBorders>
            <w:shd w:val="clear" w:color="auto" w:fill="D4EFF4"/>
          </w:tcPr>
          <w:p>
            <w:pPr>
              <w:spacing w:after="0"/>
              <w:rPr>
                <w:sz w:val="19"/>
                <w:szCs w:val="19"/>
                <w:color w:val="auto"/>
              </w:rPr>
            </w:pPr>
          </w:p>
        </w:tc>
      </w:tr>
      <w:tr>
        <w:trPr>
          <w:trHeight w:val="234"/>
        </w:trPr>
        <w:tc>
          <w:tcPr>
            <w:tcW w:w="486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325,220</w:t>
            </w:r>
          </w:p>
        </w:tc>
        <w:tc>
          <w:tcPr>
            <w:tcW w:w="12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144,559</w:t>
            </w:r>
          </w:p>
        </w:tc>
        <w:tc>
          <w:tcPr>
            <w:tcW w:w="100" w:type="dxa"/>
            <w:vAlign w:val="bottom"/>
          </w:tcPr>
          <w:p>
            <w:pPr>
              <w:spacing w:after="0"/>
              <w:rPr>
                <w:sz w:val="20"/>
                <w:szCs w:val="20"/>
                <w:color w:val="auto"/>
              </w:rPr>
            </w:pPr>
          </w:p>
        </w:tc>
        <w:tc>
          <w:tcPr>
            <w:tcW w:w="140" w:type="dxa"/>
            <w:vAlign w:val="bottom"/>
            <w:gridSpan w:val="2"/>
          </w:tcPr>
          <w:p>
            <w:pPr>
              <w:spacing w:after="0"/>
              <w:rPr>
                <w:sz w:val="20"/>
                <w:szCs w:val="20"/>
                <w:color w:val="auto"/>
              </w:rPr>
            </w:pPr>
          </w:p>
        </w:tc>
        <w:tc>
          <w:tcPr>
            <w:tcW w:w="11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90" w:type="dxa"/>
            <w:vAlign w:val="bottom"/>
          </w:tcPr>
          <w:p>
            <w:pPr>
              <w:spacing w:after="0"/>
              <w:rPr>
                <w:sz w:val="20"/>
                <w:szCs w:val="20"/>
                <w:color w:val="auto"/>
              </w:rPr>
            </w:pP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gridSpan w:val="2"/>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469,779</w:t>
            </w:r>
          </w:p>
        </w:tc>
        <w:tc>
          <w:tcPr>
            <w:tcW w:w="120" w:type="dxa"/>
            <w:vAlign w:val="bottom"/>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790" w:type="dxa"/>
            <w:vAlign w:val="bottom"/>
            <w:tcBorders>
              <w:top w:val="single" w:sz="8" w:color="auto"/>
              <w:bottom w:val="single" w:sz="8" w:color="auto"/>
            </w:tcBorders>
          </w:tcPr>
          <w:p>
            <w:pPr>
              <w:spacing w:after="0" w:line="20" w:lineRule="exact"/>
              <w:rPr>
                <w:sz w:val="1"/>
                <w:szCs w:val="1"/>
                <w:color w:val="auto"/>
              </w:rPr>
            </w:pPr>
          </w:p>
        </w:tc>
        <w:tc>
          <w:tcPr>
            <w:tcW w:w="25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-3102610</wp:posOffset>
                </wp:positionV>
                <wp:extent cx="6619875"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44.2999pt" to="521.6pt,-244.2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-1122680</wp:posOffset>
                </wp:positionV>
                <wp:extent cx="661987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8.3999pt" to="521.6pt,-88.3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-503555</wp:posOffset>
                </wp:positionV>
                <wp:extent cx="6619875"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9.6499pt" to="521.6pt,-39.6499pt" o:allowincell="f" strokecolor="#FFFFFF" strokeweight="0.72pt"/>
            </w:pict>
          </mc:Fallback>
        </mc:AlternateConten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were no transfers between Level 1, Level 2 and Level 3 during the years ended December 31, 2025 and 2024.</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10440"/>
          </w:cols>
          <w:pgMar w:left="900" w:top="696" w:right="900" w:bottom="187" w:gutter="0" w:footer="0" w:header="0"/>
          <w:type w:val="continuous"/>
        </w:sectPr>
      </w:pPr>
    </w:p>
    <w:bookmarkStart w:id="146" w:name="page147"/>
    <w:bookmarkEnd w:id="146"/>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Company classifies its U.S. treasury securities, corporate debt securities and government agency bonds as short-term based on each instrument’s availability for use in current operations. The fair value of the Company’s U.S. treasury securities, corporate debt securities and government agency bonds are classified as Level 2 because they are valued using observable inputs to quoted market prices, benchmark yields, reported trades, broker/dealer quotes or alternative pricing sources with reasonable levels of price transparency.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Short-term investments consisted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68"/>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right="11"/>
              <w:spacing w:after="0" w:line="16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line="16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4"/>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center"/>
              <w:ind w:right="31"/>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08"/>
        </w:trPr>
        <w:tc>
          <w:tcPr>
            <w:tcW w:w="486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9"/>
        </w:trPr>
        <w:tc>
          <w:tcPr>
            <w:tcW w:w="48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0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48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U.S. treasury securities</w:t>
            </w:r>
          </w:p>
        </w:tc>
        <w:tc>
          <w:tcPr>
            <w:tcW w:w="24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159,033</w:t>
            </w:r>
          </w:p>
        </w:tc>
        <w:tc>
          <w:tcPr>
            <w:tcW w:w="100" w:type="dxa"/>
            <w:vAlign w:val="bottom"/>
            <w:tcBorders>
              <w:bottom w:val="single" w:sz="8" w:color="D4EFF4"/>
            </w:tcBorders>
          </w:tcPr>
          <w:p>
            <w:pPr>
              <w:spacing w:after="0"/>
              <w:rPr>
                <w:sz w:val="21"/>
                <w:szCs w:val="21"/>
                <w:color w:val="auto"/>
              </w:rPr>
            </w:pPr>
          </w:p>
        </w:tc>
        <w:tc>
          <w:tcPr>
            <w:tcW w:w="24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422</w:t>
            </w:r>
          </w:p>
        </w:tc>
        <w:tc>
          <w:tcPr>
            <w:tcW w:w="34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D4EFF4"/>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D4EFF4"/>
            </w:tcBorders>
          </w:tcPr>
          <w:p>
            <w:pPr>
              <w:spacing w:after="0"/>
              <w:rPr>
                <w:sz w:val="21"/>
                <w:szCs w:val="21"/>
                <w:color w:val="auto"/>
              </w:rPr>
            </w:pPr>
          </w:p>
        </w:tc>
        <w:tc>
          <w:tcPr>
            <w:tcW w:w="24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159,455</w:t>
            </w:r>
          </w:p>
        </w:tc>
        <w:tc>
          <w:tcPr>
            <w:tcW w:w="120" w:type="dxa"/>
            <w:vAlign w:val="bottom"/>
            <w:tcBorders>
              <w:bottom w:val="single" w:sz="8" w:color="D4EFF4"/>
            </w:tcBorders>
          </w:tcPr>
          <w:p>
            <w:pPr>
              <w:spacing w:after="0"/>
              <w:rPr>
                <w:sz w:val="21"/>
                <w:szCs w:val="21"/>
                <w:color w:val="auto"/>
              </w:rPr>
            </w:pPr>
          </w:p>
        </w:tc>
      </w:tr>
      <w:tr>
        <w:trPr>
          <w:trHeight w:val="225"/>
        </w:trPr>
        <w:tc>
          <w:tcPr>
            <w:tcW w:w="486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Corporate debt securities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75,117</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06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102</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5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75,216</w:t>
            </w:r>
          </w:p>
        </w:tc>
        <w:tc>
          <w:tcPr>
            <w:tcW w:w="120" w:type="dxa"/>
            <w:vAlign w:val="bottom"/>
            <w:shd w:val="clear" w:color="auto" w:fill="D4EFF4"/>
          </w:tcPr>
          <w:p>
            <w:pPr>
              <w:spacing w:after="0"/>
              <w:rPr>
                <w:sz w:val="19"/>
                <w:szCs w:val="19"/>
                <w:color w:val="auto"/>
              </w:rPr>
            </w:pPr>
          </w:p>
        </w:tc>
      </w:tr>
      <w:tr>
        <w:trPr>
          <w:trHeight w:val="269"/>
        </w:trPr>
        <w:tc>
          <w:tcPr>
            <w:tcW w:w="48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Government agency bonds</w:t>
            </w:r>
          </w:p>
        </w:tc>
        <w:tc>
          <w:tcPr>
            <w:tcW w:w="1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5,253</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5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D4EFF4"/>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5,260</w:t>
            </w:r>
          </w:p>
        </w:tc>
        <w:tc>
          <w:tcPr>
            <w:tcW w:w="120" w:type="dxa"/>
            <w:vAlign w:val="bottom"/>
            <w:tcBorders>
              <w:bottom w:val="single" w:sz="8" w:color="auto"/>
            </w:tcBorders>
          </w:tcPr>
          <w:p>
            <w:pPr>
              <w:spacing w:after="0"/>
              <w:rPr>
                <w:sz w:val="22"/>
                <w:szCs w:val="22"/>
                <w:color w:val="auto"/>
              </w:rPr>
            </w:pPr>
          </w:p>
        </w:tc>
      </w:tr>
      <w:tr>
        <w:trPr>
          <w:trHeight w:val="216"/>
        </w:trPr>
        <w:tc>
          <w:tcPr>
            <w:tcW w:w="4860" w:type="dxa"/>
            <w:vAlign w:val="bottom"/>
            <w:tcBorders>
              <w:top w:val="single" w:sz="8" w:color="D4EFF4"/>
            </w:tcBorders>
            <w:shd w:val="clear" w:color="auto" w:fill="D4EFF4"/>
          </w:tcPr>
          <w:p>
            <w:pPr>
              <w:spacing w:after="0" w:line="216" w:lineRule="exact"/>
              <w:rPr>
                <w:sz w:val="20"/>
                <w:szCs w:val="20"/>
                <w:color w:val="auto"/>
              </w:rPr>
            </w:pPr>
            <w:r>
              <w:rPr>
                <w:rFonts w:ascii="Times New Roman" w:cs="Times New Roman" w:eastAsia="Times New Roman" w:hAnsi="Times New Roman"/>
                <w:sz w:val="20"/>
                <w:szCs w:val="20"/>
                <w:color w:val="auto"/>
              </w:rPr>
              <w:t>Total short-term investments:</w:t>
            </w: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rPr>
              <w:t>239,403</w:t>
            </w:r>
          </w:p>
        </w:tc>
        <w:tc>
          <w:tcPr>
            <w:tcW w:w="10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gridSpan w:val="2"/>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06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rPr>
              <w:t>531</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5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rPr>
              <w:t>(3</w:t>
            </w:r>
          </w:p>
        </w:tc>
        <w:tc>
          <w:tcPr>
            <w:tcW w:w="11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20" w:type="dxa"/>
            <w:vAlign w:val="bottom"/>
            <w:tcBorders>
              <w:top w:val="single" w:sz="8" w:color="D4EFF4"/>
            </w:tcBorders>
            <w:shd w:val="clear" w:color="auto" w:fill="D4EFF4"/>
          </w:tcPr>
          <w:p>
            <w:pPr>
              <w:jc w:val="right"/>
              <w:spacing w:after="0" w:line="216" w:lineRule="exact"/>
              <w:rPr>
                <w:sz w:val="20"/>
                <w:szCs w:val="20"/>
                <w:color w:val="auto"/>
              </w:rPr>
            </w:pPr>
            <w:r>
              <w:rPr>
                <w:rFonts w:ascii="Times New Roman" w:cs="Times New Roman" w:eastAsia="Times New Roman" w:hAnsi="Times New Roman"/>
                <w:sz w:val="20"/>
                <w:szCs w:val="20"/>
                <w:color w:val="auto"/>
              </w:rPr>
              <w:t>239,931</w:t>
            </w:r>
          </w:p>
        </w:tc>
        <w:tc>
          <w:tcPr>
            <w:tcW w:w="120" w:type="dxa"/>
            <w:vAlign w:val="bottom"/>
            <w:tcBorders>
              <w:top w:val="single" w:sz="8" w:color="D4EFF4"/>
            </w:tcBorders>
            <w:shd w:val="clear" w:color="auto" w:fill="D4EFF4"/>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5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444"/>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r>
        <w:trPr>
          <w:trHeight w:val="154"/>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11"/>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20"/>
              <w:spacing w:after="0" w:line="154"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5"/>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Amortized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Fair</w:t>
            </w:r>
          </w:p>
        </w:tc>
      </w:tr>
      <w:tr>
        <w:trPr>
          <w:trHeight w:val="203"/>
        </w:trPr>
        <w:tc>
          <w:tcPr>
            <w:tcW w:w="486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 w:type="dxa"/>
            <w:vAlign w:val="bottom"/>
            <w:tcBorders>
              <w:bottom w:val="single" w:sz="8" w:color="D4EFF4"/>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0"/>
        </w:trPr>
        <w:tc>
          <w:tcPr>
            <w:tcW w:w="4860" w:type="dxa"/>
            <w:vAlign w:val="bottom"/>
            <w:shd w:val="clear" w:color="auto" w:fill="D4EFF4"/>
          </w:tcPr>
          <w:p>
            <w:pPr>
              <w:spacing w:after="0" w:line="220" w:lineRule="exact"/>
              <w:rPr>
                <w:sz w:val="20"/>
                <w:szCs w:val="20"/>
                <w:color w:val="auto"/>
              </w:rPr>
            </w:pPr>
            <w:r>
              <w:rPr>
                <w:rFonts w:ascii="Times New Roman" w:cs="Times New Roman" w:eastAsia="Times New Roman" w:hAnsi="Times New Roman"/>
                <w:sz w:val="20"/>
                <w:szCs w:val="20"/>
                <w:color w:val="auto"/>
              </w:rPr>
              <w:t>Short-term investments:</w:t>
            </w: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4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06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05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0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30"/>
        </w:trPr>
        <w:tc>
          <w:tcPr>
            <w:tcW w:w="48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bills</w:t>
            </w:r>
          </w:p>
        </w:tc>
        <w:tc>
          <w:tcPr>
            <w:tcW w:w="12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77,142</w:t>
            </w:r>
          </w:p>
        </w:tc>
        <w:tc>
          <w:tcPr>
            <w:tcW w:w="100" w:type="dxa"/>
            <w:vAlign w:val="bottom"/>
          </w:tcPr>
          <w:p>
            <w:pPr>
              <w:spacing w:after="0"/>
              <w:rPr>
                <w:sz w:val="20"/>
                <w:szCs w:val="20"/>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4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77,165</w:t>
            </w:r>
          </w:p>
        </w:tc>
      </w:tr>
      <w:tr>
        <w:trPr>
          <w:trHeight w:val="229"/>
        </w:trPr>
        <w:tc>
          <w:tcPr>
            <w:tcW w:w="48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U.S. government agency bonds</w:t>
            </w:r>
          </w:p>
        </w:tc>
        <w:tc>
          <w:tcPr>
            <w:tcW w:w="120" w:type="dxa"/>
            <w:vAlign w:val="bottom"/>
            <w:shd w:val="clear" w:color="auto" w:fill="D4EFF4"/>
          </w:tcPr>
          <w:p>
            <w:pPr>
              <w:spacing w:after="0"/>
              <w:rPr>
                <w:sz w:val="19"/>
                <w:szCs w:val="19"/>
                <w:color w:val="auto"/>
              </w:rPr>
            </w:pPr>
          </w:p>
        </w:tc>
        <w:tc>
          <w:tcPr>
            <w:tcW w:w="20" w:type="dxa"/>
            <w:vAlign w:val="bottom"/>
            <w:tcBorders>
              <w:bottom w:val="single" w:sz="8" w:color="auto"/>
            </w:tcBorders>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0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67,442</w:t>
            </w:r>
          </w:p>
        </w:tc>
        <w:tc>
          <w:tcPr>
            <w:tcW w:w="100" w:type="dxa"/>
            <w:vAlign w:val="bottom"/>
            <w:tcBorders>
              <w:bottom w:val="single" w:sz="8" w:color="auto"/>
            </w:tcBorders>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tcBorders>
              <w:bottom w:val="single" w:sz="8" w:color="auto"/>
            </w:tcBorders>
            <w:shd w:val="clear" w:color="auto" w:fill="D4EFF4"/>
          </w:tcPr>
          <w:p>
            <w:pPr>
              <w:spacing w:after="0"/>
              <w:rPr>
                <w:sz w:val="19"/>
                <w:szCs w:val="19"/>
                <w:color w:val="auto"/>
              </w:rPr>
            </w:pPr>
          </w:p>
        </w:tc>
        <w:tc>
          <w:tcPr>
            <w:tcW w:w="10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100" w:type="dxa"/>
            <w:vAlign w:val="bottom"/>
            <w:tcBorders>
              <w:bottom w:val="single" w:sz="8" w:color="auto"/>
            </w:tcBorders>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16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tcBorders>
              <w:bottom w:val="single" w:sz="8" w:color="auto"/>
            </w:tcBorders>
            <w:shd w:val="clear" w:color="auto" w:fill="D4EFF4"/>
          </w:tcPr>
          <w:p>
            <w:pPr>
              <w:spacing w:after="0"/>
              <w:rPr>
                <w:sz w:val="19"/>
                <w:szCs w:val="19"/>
                <w:color w:val="auto"/>
              </w:rPr>
            </w:pPr>
          </w:p>
        </w:tc>
        <w:tc>
          <w:tcPr>
            <w:tcW w:w="1140" w:type="dxa"/>
            <w:vAlign w:val="bottom"/>
            <w:tcBorders>
              <w:bottom w:val="single" w:sz="8" w:color="auto"/>
            </w:tcBorders>
            <w:gridSpan w:val="2"/>
            <w:shd w:val="clear" w:color="auto" w:fill="D4EFF4"/>
          </w:tcPr>
          <w:p>
            <w:pPr>
              <w:jc w:val="right"/>
              <w:ind w:right="120"/>
              <w:spacing w:after="0"/>
              <w:rPr>
                <w:sz w:val="20"/>
                <w:szCs w:val="20"/>
                <w:color w:val="auto"/>
              </w:rPr>
            </w:pPr>
            <w:r>
              <w:rPr>
                <w:rFonts w:ascii="Times New Roman" w:cs="Times New Roman" w:eastAsia="Times New Roman" w:hAnsi="Times New Roman"/>
                <w:sz w:val="20"/>
                <w:szCs w:val="20"/>
                <w:color w:val="auto"/>
              </w:rPr>
              <w:t>67,394</w:t>
            </w:r>
          </w:p>
        </w:tc>
      </w:tr>
      <w:tr>
        <w:trPr>
          <w:trHeight w:val="222"/>
        </w:trPr>
        <w:tc>
          <w:tcPr>
            <w:tcW w:w="486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short-term investments:</w:t>
            </w:r>
          </w:p>
        </w:tc>
        <w:tc>
          <w:tcPr>
            <w:tcW w:w="120" w:type="dxa"/>
            <w:vAlign w:val="bottom"/>
          </w:tcPr>
          <w:p>
            <w:pPr>
              <w:spacing w:after="0"/>
              <w:rPr>
                <w:sz w:val="19"/>
                <w:szCs w:val="19"/>
                <w:color w:val="auto"/>
              </w:rPr>
            </w:pPr>
          </w:p>
        </w:tc>
        <w:tc>
          <w:tcPr>
            <w:tcW w:w="12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144,584</w:t>
            </w:r>
          </w:p>
        </w:tc>
        <w:tc>
          <w:tcPr>
            <w:tcW w:w="10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rPr>
              <w:t>71</w:t>
            </w:r>
          </w:p>
        </w:tc>
        <w:tc>
          <w:tcPr>
            <w:tcW w:w="100" w:type="dxa"/>
            <w:vAlign w:val="bottom"/>
          </w:tcPr>
          <w:p>
            <w:pPr>
              <w:spacing w:after="0"/>
              <w:rPr>
                <w:sz w:val="19"/>
                <w:szCs w:val="19"/>
                <w:color w:val="auto"/>
              </w:rPr>
            </w:pPr>
          </w:p>
        </w:tc>
        <w:tc>
          <w:tcPr>
            <w:tcW w:w="140" w:type="dxa"/>
            <w:vAlign w:val="bottom"/>
            <w:gridSpan w:val="3"/>
          </w:tcPr>
          <w:p>
            <w:pPr>
              <w:spacing w:after="0"/>
              <w:rPr>
                <w:sz w:val="19"/>
                <w:szCs w:val="19"/>
                <w:color w:val="auto"/>
              </w:rPr>
            </w:pPr>
          </w:p>
        </w:tc>
        <w:tc>
          <w:tcPr>
            <w:tcW w:w="10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(96)</w:t>
            </w:r>
          </w:p>
        </w:tc>
        <w:tc>
          <w:tcPr>
            <w:tcW w:w="1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140" w:type="dxa"/>
            <w:vAlign w:val="bottom"/>
            <w:gridSpan w:val="2"/>
          </w:tcPr>
          <w:p>
            <w:pPr>
              <w:jc w:val="right"/>
              <w:ind w:right="100"/>
              <w:spacing w:after="0" w:line="223" w:lineRule="exact"/>
              <w:rPr>
                <w:sz w:val="20"/>
                <w:szCs w:val="20"/>
                <w:color w:val="auto"/>
              </w:rPr>
            </w:pPr>
            <w:r>
              <w:rPr>
                <w:rFonts w:ascii="Times New Roman" w:cs="Times New Roman" w:eastAsia="Times New Roman" w:hAnsi="Times New Roman"/>
                <w:sz w:val="20"/>
                <w:szCs w:val="20"/>
                <w:color w:val="auto"/>
              </w:rPr>
              <w:t>144,559</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50" w:type="dxa"/>
            <w:vAlign w:val="bottom"/>
            <w:tcBorders>
              <w:top w:val="single" w:sz="8" w:color="auto"/>
              <w:bottom w:val="single" w:sz="8" w:color="auto"/>
            </w:tcBorders>
          </w:tcPr>
          <w:p>
            <w:pPr>
              <w:spacing w:after="0" w:line="20" w:lineRule="exact"/>
              <w:rPr>
                <w:sz w:val="1"/>
                <w:szCs w:val="1"/>
                <w:color w:val="auto"/>
              </w:rPr>
            </w:pPr>
          </w:p>
        </w:tc>
        <w:tc>
          <w:tcPr>
            <w:tcW w:w="11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-1614170</wp:posOffset>
                </wp:positionV>
                <wp:extent cx="6619875" cy="0"/>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8" o:spid="_x0000_s11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27.0999pt" to="521.6pt,-127.0999pt" o:allowincell="f" strokecolor="#FFFFFF" strokeweight="0.7199pt"/>
            </w:pict>
          </mc:Fallback>
        </mc:AlternateContent>
      </w:r>
    </w:p>
    <w:p>
      <w:pPr>
        <w:spacing w:after="0" w:line="237" w:lineRule="exact"/>
        <w:rPr>
          <w:sz w:val="20"/>
          <w:szCs w:val="20"/>
          <w:color w:val="auto"/>
        </w:rPr>
      </w:pPr>
    </w:p>
    <w:p>
      <w:pPr>
        <w:ind w:right="520"/>
        <w:spacing w:after="0" w:line="277" w:lineRule="auto"/>
        <w:rPr>
          <w:sz w:val="20"/>
          <w:szCs w:val="20"/>
          <w:color w:val="auto"/>
        </w:rPr>
      </w:pPr>
      <w:r>
        <w:rPr>
          <w:rFonts w:ascii="Times New Roman" w:cs="Times New Roman" w:eastAsia="Times New Roman" w:hAnsi="Times New Roman"/>
          <w:sz w:val="20"/>
          <w:szCs w:val="20"/>
          <w:color w:val="auto"/>
        </w:rPr>
        <w:t>The contractual maturities of the Company’s short-term investments in available-for-sale securities held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5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28"/>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8"/>
        </w:trPr>
        <w:tc>
          <w:tcPr>
            <w:tcW w:w="7650" w:type="dxa"/>
            <w:vAlign w:val="bottom"/>
            <w:tcBorders>
              <w:bottom w:val="single" w:sz="8" w:color="D4EFF4"/>
            </w:tcBorders>
          </w:tcPr>
          <w:p>
            <w:pPr>
              <w:spacing w:after="0"/>
              <w:rPr>
                <w:sz w:val="19"/>
                <w:szCs w:val="19"/>
                <w:color w:val="auto"/>
              </w:rPr>
            </w:pPr>
          </w:p>
        </w:tc>
        <w:tc>
          <w:tcPr>
            <w:tcW w:w="11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9"/>
                <w:szCs w:val="19"/>
                <w:color w:val="auto"/>
              </w:rPr>
            </w:pPr>
          </w:p>
        </w:tc>
      </w:tr>
      <w:tr>
        <w:trPr>
          <w:trHeight w:val="214"/>
        </w:trPr>
        <w:tc>
          <w:tcPr>
            <w:tcW w:w="7650" w:type="dxa"/>
            <w:vAlign w:val="bottom"/>
            <w:tcBorders>
              <w:top w:val="single" w:sz="8" w:color="D4EFF4"/>
            </w:tcBorders>
            <w:shd w:val="clear" w:color="auto" w:fill="D4EFF4"/>
          </w:tcPr>
          <w:p>
            <w:pPr>
              <w:spacing w:after="0" w:line="214" w:lineRule="exact"/>
              <w:rPr>
                <w:sz w:val="20"/>
                <w:szCs w:val="20"/>
                <w:color w:val="auto"/>
              </w:rPr>
            </w:pPr>
            <w:r>
              <w:rPr>
                <w:rFonts w:ascii="Times New Roman" w:cs="Times New Roman" w:eastAsia="Times New Roman" w:hAnsi="Times New Roman"/>
                <w:sz w:val="20"/>
                <w:szCs w:val="20"/>
                <w:color w:val="auto"/>
              </w:rPr>
              <w:t>Due within one year</w:t>
            </w:r>
          </w:p>
        </w:tc>
        <w:tc>
          <w:tcPr>
            <w:tcW w:w="11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6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221,506</w:t>
            </w:r>
          </w:p>
        </w:tc>
        <w:tc>
          <w:tcPr>
            <w:tcW w:w="10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109,943</w:t>
            </w:r>
          </w:p>
        </w:tc>
        <w:tc>
          <w:tcPr>
            <w:tcW w:w="120" w:type="dxa"/>
            <w:vAlign w:val="bottom"/>
            <w:tcBorders>
              <w:top w:val="single" w:sz="8" w:color="D4EFF4"/>
            </w:tcBorders>
            <w:shd w:val="clear" w:color="auto" w:fill="D4EFF4"/>
          </w:tcPr>
          <w:p>
            <w:pPr>
              <w:spacing w:after="0"/>
              <w:rPr>
                <w:sz w:val="18"/>
                <w:szCs w:val="18"/>
                <w:color w:val="auto"/>
              </w:rPr>
            </w:pPr>
          </w:p>
        </w:tc>
      </w:tr>
      <w:tr>
        <w:trPr>
          <w:trHeight w:val="269"/>
        </w:trPr>
        <w:tc>
          <w:tcPr>
            <w:tcW w:w="765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Due after one year through two years</w:t>
            </w:r>
          </w:p>
        </w:tc>
        <w:tc>
          <w:tcPr>
            <w:tcW w:w="11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18,425</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34,616</w:t>
            </w:r>
          </w:p>
        </w:tc>
        <w:tc>
          <w:tcPr>
            <w:tcW w:w="120" w:type="dxa"/>
            <w:vAlign w:val="bottom"/>
            <w:tcBorders>
              <w:bottom w:val="single" w:sz="8" w:color="auto"/>
            </w:tcBorders>
          </w:tcPr>
          <w:p>
            <w:pPr>
              <w:spacing w:after="0"/>
              <w:rPr>
                <w:sz w:val="22"/>
                <w:szCs w:val="22"/>
                <w:color w:val="auto"/>
              </w:rPr>
            </w:pPr>
          </w:p>
        </w:tc>
      </w:tr>
      <w:tr>
        <w:trPr>
          <w:trHeight w:val="216"/>
        </w:trPr>
        <w:tc>
          <w:tcPr>
            <w:tcW w:w="7650" w:type="dxa"/>
            <w:vAlign w:val="bottom"/>
            <w:tcBorders>
              <w:top w:val="single" w:sz="8" w:color="D4EFF4"/>
            </w:tcBorders>
            <w:shd w:val="clear" w:color="auto" w:fill="D4EFF4"/>
          </w:tcPr>
          <w:p>
            <w:pPr>
              <w:ind w:left="200"/>
              <w:spacing w:after="0" w:line="215" w:lineRule="exact"/>
              <w:rPr>
                <w:sz w:val="20"/>
                <w:szCs w:val="20"/>
                <w:color w:val="auto"/>
              </w:rPr>
            </w:pPr>
            <w:r>
              <w:rPr>
                <w:rFonts w:ascii="Times New Roman" w:cs="Times New Roman" w:eastAsia="Times New Roman" w:hAnsi="Times New Roman"/>
                <w:sz w:val="20"/>
                <w:szCs w:val="20"/>
                <w:color w:val="auto"/>
              </w:rPr>
              <w:t>Total available-for-sale securities</w:t>
            </w:r>
          </w:p>
        </w:tc>
        <w:tc>
          <w:tcPr>
            <w:tcW w:w="11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60" w:type="dxa"/>
            <w:vAlign w:val="bottom"/>
            <w:tcBorders>
              <w:top w:val="single" w:sz="8" w:color="D4EFF4"/>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239,931</w:t>
            </w:r>
          </w:p>
        </w:tc>
        <w:tc>
          <w:tcPr>
            <w:tcW w:w="10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40" w:type="dxa"/>
            <w:vAlign w:val="bottom"/>
            <w:tcBorders>
              <w:top w:val="single" w:sz="8" w:color="D4EFF4"/>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144,559</w:t>
            </w: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r>
      <w:tr>
        <w:trPr>
          <w:trHeight w:val="20"/>
        </w:trPr>
        <w:tc>
          <w:tcPr>
            <w:tcW w:w="765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Valuation of preferred stock tranche right liabilities</w:t>
      </w:r>
    </w:p>
    <w:p>
      <w:pPr>
        <w:spacing w:after="0" w:line="120"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20"/>
          <w:szCs w:val="20"/>
          <w:color w:val="auto"/>
        </w:rPr>
        <w:t>The fair value of the preferred stock tranche right liability in the table below is composed of the fair value of the obligation to issue Series B redeemable convertible preferred stock (“Series B Preferred Stock”) (Note 8). The fair value of the preferred stock tranche right liability was based on significant inputs not observable in the market, which represented a Level 3 measurement within the fair value hierarchy.</w:t>
      </w:r>
    </w:p>
    <w:p>
      <w:pPr>
        <w:spacing w:after="0" w:line="193"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20"/>
          <w:szCs w:val="20"/>
          <w:color w:val="auto"/>
        </w:rPr>
        <w:t>The fair value of the Series B Preferred Stock tranche right liability was determined using an option pricing model as it represents an option for the Series B Option Shares (as defined in Note 8). The valuation considered as inputs the estimated fair value of the Series B Preferred Stock as of each valuation date, the risk-free interest rate, volatility, expected dividends, and estimated time to the tranche closing.</w:t>
      </w:r>
    </w:p>
    <w:p>
      <w:pPr>
        <w:spacing w:after="0" w:line="19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most significant assumption in the valuation model impacting the fair value of the preferred stock tranche right liability is the fair value of the Company’s Series B Preferred Stock as of each measurement date. The Company determined the fair value per share of the underlying Series B Preferred Stock by taking into consideration the most recent sales of its Series B Preferred Stock, results obtained from third-party valuations and additional factors the Company deemed relevant. In April 2024, upon satisfaction of certain conditions, the Company issued and sold 8,823,523 shares of Series B Preferred Stock at a price of $17.00 per share, which resulted in the settlement of the associated Series B preferred stock tranche right liability. The fair value of Series B Preferred Stock was $17.002 per share upon the closing.</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10440"/>
          </w:cols>
          <w:pgMar w:left="900" w:top="696" w:right="900" w:bottom="187"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20"/>
          <w:szCs w:val="20"/>
          <w:color w:val="auto"/>
        </w:rPr>
        <w:t>The following table presents a roll-forward of the fair value of the Series B preferred stock tranche right liability during the year ended December 31, 2024, for which fair value was determined using Level 3 inputs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39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5" w:type="dxa"/>
            <w:vAlign w:val="bottom"/>
          </w:tcPr>
          <w:p>
            <w:pPr>
              <w:spacing w:after="0"/>
              <w:rPr>
                <w:sz w:val="16"/>
                <w:szCs w:val="16"/>
                <w:color w:val="auto"/>
              </w:rPr>
            </w:pPr>
          </w:p>
        </w:tc>
        <w:tc>
          <w:tcPr>
            <w:tcW w:w="1265"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Series B Preferred</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1390" w:type="dxa"/>
            <w:vAlign w:val="bottom"/>
          </w:tcPr>
          <w:p>
            <w:pPr>
              <w:spacing w:after="0"/>
              <w:rPr>
                <w:sz w:val="16"/>
                <w:szCs w:val="16"/>
                <w:color w:val="auto"/>
              </w:rPr>
            </w:pPr>
          </w:p>
        </w:tc>
        <w:tc>
          <w:tcPr>
            <w:tcW w:w="11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5" w:type="dxa"/>
            <w:vAlign w:val="bottom"/>
          </w:tcPr>
          <w:p>
            <w:pPr>
              <w:spacing w:after="0"/>
              <w:rPr>
                <w:sz w:val="16"/>
                <w:szCs w:val="16"/>
                <w:color w:val="auto"/>
              </w:rPr>
            </w:pPr>
          </w:p>
        </w:tc>
        <w:tc>
          <w:tcPr>
            <w:tcW w:w="1265"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3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Stock Tranche</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390" w:type="dxa"/>
            <w:vAlign w:val="bottom"/>
          </w:tcPr>
          <w:p>
            <w:pPr>
              <w:spacing w:after="0"/>
              <w:rPr>
                <w:sz w:val="17"/>
                <w:szCs w:val="17"/>
                <w:color w:val="auto"/>
              </w:rPr>
            </w:pPr>
          </w:p>
        </w:tc>
        <w:tc>
          <w:tcPr>
            <w:tcW w:w="11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5" w:type="dxa"/>
            <w:vAlign w:val="bottom"/>
          </w:tcPr>
          <w:p>
            <w:pPr>
              <w:spacing w:after="0"/>
              <w:rPr>
                <w:sz w:val="17"/>
                <w:szCs w:val="17"/>
                <w:color w:val="auto"/>
              </w:rPr>
            </w:pPr>
          </w:p>
        </w:tc>
        <w:tc>
          <w:tcPr>
            <w:tcW w:w="1265"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Right Liability</w:t>
            </w:r>
          </w:p>
        </w:tc>
        <w:tc>
          <w:tcPr>
            <w:tcW w:w="0" w:type="dxa"/>
            <w:vAlign w:val="bottom"/>
          </w:tcPr>
          <w:p>
            <w:pPr>
              <w:spacing w:after="0"/>
              <w:rPr>
                <w:sz w:val="1"/>
                <w:szCs w:val="1"/>
                <w:color w:val="auto"/>
              </w:rPr>
            </w:pPr>
          </w:p>
        </w:tc>
      </w:tr>
      <w:tr>
        <w:trPr>
          <w:trHeight w:val="233"/>
        </w:trPr>
        <w:tc>
          <w:tcPr>
            <w:tcW w:w="5600" w:type="dxa"/>
            <w:vAlign w:val="bottom"/>
            <w:tcBorders>
              <w:bottom w:val="single" w:sz="8" w:color="D4EFF4"/>
            </w:tcBorders>
          </w:tcPr>
          <w:p>
            <w:pPr>
              <w:spacing w:after="0"/>
              <w:rPr>
                <w:sz w:val="20"/>
                <w:szCs w:val="20"/>
                <w:color w:val="auto"/>
              </w:rPr>
            </w:pPr>
          </w:p>
        </w:tc>
        <w:tc>
          <w:tcPr>
            <w:tcW w:w="1390" w:type="dxa"/>
            <w:vAlign w:val="bottom"/>
            <w:tcBorders>
              <w:bottom w:val="single" w:sz="8" w:color="D4EFF4"/>
            </w:tcBorders>
          </w:tcPr>
          <w:p>
            <w:pPr>
              <w:spacing w:after="0"/>
              <w:rPr>
                <w:sz w:val="20"/>
                <w:szCs w:val="20"/>
                <w:color w:val="auto"/>
              </w:rPr>
            </w:pPr>
          </w:p>
        </w:tc>
        <w:tc>
          <w:tcPr>
            <w:tcW w:w="110" w:type="dxa"/>
            <w:vAlign w:val="bottom"/>
            <w:tcBorders>
              <w:bottom w:val="single" w:sz="8" w:color="D4EFF4"/>
            </w:tcBorders>
          </w:tcPr>
          <w:p>
            <w:pPr>
              <w:spacing w:after="0"/>
              <w:rPr>
                <w:sz w:val="20"/>
                <w:szCs w:val="20"/>
                <w:color w:val="auto"/>
              </w:rPr>
            </w:pPr>
          </w:p>
        </w:tc>
        <w:tc>
          <w:tcPr>
            <w:tcW w:w="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55" w:type="dxa"/>
            <w:vAlign w:val="bottom"/>
            <w:tcBorders>
              <w:bottom w:val="single" w:sz="8" w:color="D4EFF4"/>
            </w:tcBorders>
          </w:tcPr>
          <w:p>
            <w:pPr>
              <w:spacing w:after="0"/>
              <w:rPr>
                <w:sz w:val="20"/>
                <w:szCs w:val="20"/>
                <w:color w:val="auto"/>
              </w:rPr>
            </w:pPr>
          </w:p>
        </w:tc>
        <w:tc>
          <w:tcPr>
            <w:tcW w:w="1265"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40" w:type="dxa"/>
            <w:vAlign w:val="bottom"/>
            <w:tcBorders>
              <w:bottom w:val="single" w:sz="8" w:color="D4EFF4"/>
            </w:tcBorders>
          </w:tcPr>
          <w:p>
            <w:pPr>
              <w:spacing w:after="0"/>
              <w:rPr>
                <w:sz w:val="20"/>
                <w:szCs w:val="20"/>
                <w:color w:val="auto"/>
              </w:rPr>
            </w:pPr>
          </w:p>
        </w:tc>
        <w:tc>
          <w:tcPr>
            <w:tcW w:w="90" w:type="dxa"/>
            <w:vAlign w:val="bottom"/>
            <w:tcBorders>
              <w:bottom w:val="single" w:sz="8" w:color="D4EFF4"/>
            </w:tcBorders>
          </w:tcPr>
          <w:p>
            <w:pPr>
              <w:spacing w:after="0"/>
              <w:rPr>
                <w:sz w:val="20"/>
                <w:szCs w:val="20"/>
                <w:color w:val="auto"/>
              </w:rPr>
            </w:pPr>
          </w:p>
        </w:tc>
        <w:tc>
          <w:tcPr>
            <w:tcW w:w="3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D4EFF4"/>
            </w:tcBorders>
          </w:tcPr>
          <w:p>
            <w:pPr>
              <w:spacing w:after="0"/>
              <w:rPr>
                <w:sz w:val="20"/>
                <w:szCs w:val="20"/>
                <w:color w:val="auto"/>
              </w:rPr>
            </w:pPr>
          </w:p>
        </w:tc>
        <w:tc>
          <w:tcPr>
            <w:tcW w:w="1240" w:type="dxa"/>
            <w:vAlign w:val="bottom"/>
            <w:tcBorders>
              <w:bottom w:val="single" w:sz="8" w:color="D4EFF4"/>
            </w:tcBorders>
          </w:tcPr>
          <w:p>
            <w:pPr>
              <w:spacing w:after="0"/>
              <w:rPr>
                <w:sz w:val="20"/>
                <w:szCs w:val="20"/>
                <w:color w:val="auto"/>
              </w:rPr>
            </w:pPr>
          </w:p>
        </w:tc>
        <w:tc>
          <w:tcPr>
            <w:tcW w:w="120" w:type="dxa"/>
            <w:vAlign w:val="bottom"/>
            <w:tcBorders>
              <w:bottom w:val="single" w:sz="8" w:color="D4EFF4"/>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990" w:type="dxa"/>
            <w:vAlign w:val="bottom"/>
            <w:gridSpan w:val="2"/>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Fair value at December 31, 2023</w:t>
            </w:r>
          </w:p>
        </w:tc>
        <w:tc>
          <w:tcPr>
            <w:tcW w:w="11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55" w:type="dxa"/>
            <w:vAlign w:val="bottom"/>
            <w:shd w:val="clear" w:color="auto" w:fill="D4EFF4"/>
          </w:tcPr>
          <w:p>
            <w:pPr>
              <w:spacing w:after="0"/>
              <w:rPr>
                <w:sz w:val="19"/>
                <w:szCs w:val="19"/>
                <w:color w:val="auto"/>
              </w:rPr>
            </w:pPr>
          </w:p>
        </w:tc>
        <w:tc>
          <w:tcPr>
            <w:tcW w:w="1265"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3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2,874</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990" w:type="dxa"/>
            <w:vAlign w:val="bottom"/>
            <w:tcBorders>
              <w:bottom w:val="single" w:sz="8" w:color="D4EFF4"/>
            </w:tcBorders>
            <w:gridSpan w:val="2"/>
          </w:tcPr>
          <w:p>
            <w:pPr>
              <w:ind w:left="200"/>
              <w:spacing w:after="0"/>
              <w:rPr>
                <w:sz w:val="20"/>
                <w:szCs w:val="20"/>
                <w:color w:val="auto"/>
              </w:rPr>
            </w:pPr>
            <w:r>
              <w:rPr>
                <w:rFonts w:ascii="Times New Roman" w:cs="Times New Roman" w:eastAsia="Times New Roman" w:hAnsi="Times New Roman"/>
                <w:sz w:val="20"/>
                <w:szCs w:val="20"/>
                <w:color w:val="auto"/>
              </w:rPr>
              <w:t>Change in fair value of Series B preferred stock tranche right liability</w:t>
            </w:r>
          </w:p>
        </w:tc>
        <w:tc>
          <w:tcPr>
            <w:tcW w:w="110" w:type="dxa"/>
            <w:vAlign w:val="bottom"/>
            <w:tcBorders>
              <w:bottom w:val="single" w:sz="8" w:color="D4EFF4"/>
            </w:tcBorders>
          </w:tcPr>
          <w:p>
            <w:pPr>
              <w:spacing w:after="0"/>
              <w:rPr>
                <w:sz w:val="21"/>
                <w:szCs w:val="21"/>
                <w:color w:val="auto"/>
              </w:rPr>
            </w:pPr>
          </w:p>
        </w:tc>
        <w:tc>
          <w:tcPr>
            <w:tcW w:w="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55" w:type="dxa"/>
            <w:vAlign w:val="bottom"/>
            <w:tcBorders>
              <w:bottom w:val="single" w:sz="8" w:color="D4EFF4"/>
            </w:tcBorders>
          </w:tcPr>
          <w:p>
            <w:pPr>
              <w:spacing w:after="0"/>
              <w:rPr>
                <w:sz w:val="21"/>
                <w:szCs w:val="21"/>
                <w:color w:val="auto"/>
              </w:rPr>
            </w:pPr>
          </w:p>
        </w:tc>
        <w:tc>
          <w:tcPr>
            <w:tcW w:w="1265"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4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3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(2,859</w:t>
            </w:r>
          </w:p>
        </w:tc>
        <w:tc>
          <w:tcPr>
            <w:tcW w:w="12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0" w:type="dxa"/>
            <w:vAlign w:val="bottom"/>
          </w:tcPr>
          <w:p>
            <w:pPr>
              <w:spacing w:after="0"/>
              <w:rPr>
                <w:sz w:val="1"/>
                <w:szCs w:val="1"/>
                <w:color w:val="auto"/>
              </w:rPr>
            </w:pPr>
          </w:p>
        </w:tc>
      </w:tr>
      <w:tr>
        <w:trPr>
          <w:trHeight w:val="224"/>
        </w:trPr>
        <w:tc>
          <w:tcPr>
            <w:tcW w:w="560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Final settlement of Series B preferred stock tranche right liability</w:t>
            </w:r>
          </w:p>
        </w:tc>
        <w:tc>
          <w:tcPr>
            <w:tcW w:w="1390" w:type="dxa"/>
            <w:vAlign w:val="bottom"/>
            <w:shd w:val="clear" w:color="auto" w:fill="D4EFF4"/>
          </w:tcPr>
          <w:p>
            <w:pPr>
              <w:spacing w:after="0"/>
              <w:rPr>
                <w:sz w:val="19"/>
                <w:szCs w:val="19"/>
                <w:color w:val="auto"/>
              </w:rPr>
            </w:pPr>
          </w:p>
        </w:tc>
        <w:tc>
          <w:tcPr>
            <w:tcW w:w="11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55" w:type="dxa"/>
            <w:vAlign w:val="bottom"/>
            <w:shd w:val="clear" w:color="auto" w:fill="D4EFF4"/>
          </w:tcPr>
          <w:p>
            <w:pPr>
              <w:spacing w:after="0"/>
              <w:rPr>
                <w:sz w:val="19"/>
                <w:szCs w:val="19"/>
                <w:color w:val="auto"/>
              </w:rPr>
            </w:pPr>
          </w:p>
        </w:tc>
        <w:tc>
          <w:tcPr>
            <w:tcW w:w="1265"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3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tcBorders>
              <w:bottom w:val="single" w:sz="8" w:color="auto"/>
            </w:tcBorders>
            <w:shd w:val="clear" w:color="auto" w:fill="D4EFF4"/>
          </w:tcPr>
          <w:p>
            <w:pPr>
              <w:spacing w:after="0"/>
              <w:rPr>
                <w:sz w:val="19"/>
                <w:szCs w:val="19"/>
                <w:color w:val="auto"/>
              </w:rPr>
            </w:pPr>
          </w:p>
        </w:tc>
        <w:tc>
          <w:tcPr>
            <w:tcW w:w="124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(15</w:t>
            </w:r>
          </w:p>
        </w:tc>
        <w:tc>
          <w:tcPr>
            <w:tcW w:w="12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37"/>
        </w:trPr>
        <w:tc>
          <w:tcPr>
            <w:tcW w:w="699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Fair value at December 31, 2024</w:t>
            </w:r>
          </w:p>
        </w:tc>
        <w:tc>
          <w:tcPr>
            <w:tcW w:w="11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5" w:type="dxa"/>
            <w:vAlign w:val="bottom"/>
          </w:tcPr>
          <w:p>
            <w:pPr>
              <w:spacing w:after="0"/>
              <w:rPr>
                <w:sz w:val="20"/>
                <w:szCs w:val="20"/>
                <w:color w:val="auto"/>
              </w:rPr>
            </w:pPr>
          </w:p>
        </w:tc>
        <w:tc>
          <w:tcPr>
            <w:tcW w:w="1265"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99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4. Prepaid expenses and other current assets</w:t>
            </w:r>
          </w:p>
        </w:tc>
        <w:tc>
          <w:tcPr>
            <w:tcW w:w="11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5" w:type="dxa"/>
            <w:vAlign w:val="bottom"/>
          </w:tcPr>
          <w:p>
            <w:pPr>
              <w:spacing w:after="0" w:line="20" w:lineRule="exact"/>
              <w:rPr>
                <w:sz w:val="1"/>
                <w:szCs w:val="1"/>
                <w:color w:val="auto"/>
              </w:rPr>
            </w:pPr>
          </w:p>
        </w:tc>
        <w:tc>
          <w:tcPr>
            <w:tcW w:w="1265"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9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26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9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expenses and other current assets consisted of the following (in thousands):</w:t>
            </w: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26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60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495" w:type="dxa"/>
            <w:vAlign w:val="bottom"/>
            <w:gridSpan w:val="4"/>
          </w:tcPr>
          <w:p>
            <w:pPr>
              <w:ind w:left="8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D4EFF4"/>
            </w:tcBorders>
          </w:tcPr>
          <w:p>
            <w:pPr>
              <w:spacing w:after="0"/>
              <w:rPr>
                <w:sz w:val="17"/>
                <w:szCs w:val="17"/>
                <w:color w:val="auto"/>
              </w:rPr>
            </w:pPr>
          </w:p>
        </w:tc>
        <w:tc>
          <w:tcPr>
            <w:tcW w:w="1390" w:type="dxa"/>
            <w:vAlign w:val="bottom"/>
            <w:tcBorders>
              <w:bottom w:val="single" w:sz="8" w:color="D4EFF4"/>
            </w:tcBorders>
          </w:tcPr>
          <w:p>
            <w:pPr>
              <w:spacing w:after="0"/>
              <w:rPr>
                <w:sz w:val="17"/>
                <w:szCs w:val="17"/>
                <w:color w:val="auto"/>
              </w:rPr>
            </w:pPr>
          </w:p>
        </w:tc>
        <w:tc>
          <w:tcPr>
            <w:tcW w:w="110" w:type="dxa"/>
            <w:vAlign w:val="bottom"/>
            <w:tcBorders>
              <w:bottom w:val="single" w:sz="8" w:color="D4EFF4"/>
            </w:tcBorders>
          </w:tcPr>
          <w:p>
            <w:pPr>
              <w:spacing w:after="0"/>
              <w:rPr>
                <w:sz w:val="17"/>
                <w:szCs w:val="17"/>
                <w:color w:val="auto"/>
              </w:rPr>
            </w:pPr>
          </w:p>
        </w:tc>
        <w:tc>
          <w:tcPr>
            <w:tcW w:w="4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55" w:type="dxa"/>
            <w:vAlign w:val="bottom"/>
            <w:tcBorders>
              <w:bottom w:val="single" w:sz="8" w:color="auto"/>
            </w:tcBorders>
          </w:tcPr>
          <w:p>
            <w:pPr>
              <w:spacing w:after="0"/>
              <w:rPr>
                <w:sz w:val="17"/>
                <w:szCs w:val="17"/>
                <w:color w:val="auto"/>
              </w:rPr>
            </w:pPr>
          </w:p>
        </w:tc>
        <w:tc>
          <w:tcPr>
            <w:tcW w:w="1265"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90" w:type="dxa"/>
            <w:vAlign w:val="bottom"/>
            <w:tcBorders>
              <w:bottom w:val="single" w:sz="8" w:color="D4EFF4"/>
            </w:tcBorders>
          </w:tcPr>
          <w:p>
            <w:pPr>
              <w:spacing w:after="0"/>
              <w:rPr>
                <w:sz w:val="17"/>
                <w:szCs w:val="17"/>
                <w:color w:val="auto"/>
              </w:rPr>
            </w:pPr>
          </w:p>
        </w:tc>
        <w:tc>
          <w:tcPr>
            <w:tcW w:w="3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990" w:type="dxa"/>
            <w:vAlign w:val="bottom"/>
            <w:gridSpan w:val="2"/>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Prepaid research and development expense</w:t>
            </w:r>
          </w:p>
        </w:tc>
        <w:tc>
          <w:tcPr>
            <w:tcW w:w="11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55"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65" w:type="dxa"/>
            <w:vAlign w:val="bottom"/>
            <w:gridSpan w:val="2"/>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6,204</w:t>
            </w:r>
          </w:p>
        </w:tc>
        <w:tc>
          <w:tcPr>
            <w:tcW w:w="4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3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gridSpan w:val="2"/>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00" w:type="dxa"/>
            <w:vAlign w:val="bottom"/>
            <w:shd w:val="clear" w:color="auto" w:fill="D4EFF4"/>
          </w:tcPr>
          <w:p>
            <w:pPr>
              <w:spacing w:after="0"/>
              <w:rPr>
                <w:sz w:val="19"/>
                <w:szCs w:val="19"/>
                <w:color w:val="auto"/>
              </w:rPr>
            </w:pPr>
          </w:p>
        </w:tc>
        <w:tc>
          <w:tcPr>
            <w:tcW w:w="124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6,125</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9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Interest receivable</w:t>
            </w:r>
          </w:p>
        </w:tc>
        <w:tc>
          <w:tcPr>
            <w:tcW w:w="11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5" w:type="dxa"/>
            <w:vAlign w:val="bottom"/>
          </w:tcPr>
          <w:p>
            <w:pPr>
              <w:spacing w:after="0"/>
              <w:rPr>
                <w:sz w:val="21"/>
                <w:szCs w:val="21"/>
                <w:color w:val="auto"/>
              </w:rPr>
            </w:pPr>
          </w:p>
        </w:tc>
        <w:tc>
          <w:tcPr>
            <w:tcW w:w="1365"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1,653</w:t>
            </w:r>
          </w:p>
        </w:tc>
        <w:tc>
          <w:tcPr>
            <w:tcW w:w="4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10" w:type="dxa"/>
            <w:vAlign w:val="bottom"/>
            <w:shd w:val="clear" w:color="auto" w:fill="D4EFF4"/>
          </w:tcPr>
          <w:p>
            <w:pPr>
              <w:spacing w:after="0"/>
              <w:rPr>
                <w:sz w:val="21"/>
                <w:szCs w:val="21"/>
                <w:color w:val="auto"/>
              </w:rPr>
            </w:pPr>
          </w:p>
        </w:tc>
        <w:tc>
          <w:tcPr>
            <w:tcW w:w="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55" w:type="dxa"/>
            <w:vAlign w:val="bottom"/>
            <w:shd w:val="clear" w:color="auto" w:fill="D4EFF4"/>
          </w:tcPr>
          <w:p>
            <w:pPr>
              <w:spacing w:after="0"/>
              <w:rPr>
                <w:sz w:val="21"/>
                <w:szCs w:val="21"/>
                <w:color w:val="auto"/>
              </w:rPr>
            </w:pPr>
          </w:p>
        </w:tc>
        <w:tc>
          <w:tcPr>
            <w:tcW w:w="1365" w:type="dxa"/>
            <w:vAlign w:val="bottom"/>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881</w:t>
            </w:r>
          </w:p>
        </w:tc>
        <w:tc>
          <w:tcPr>
            <w:tcW w:w="40" w:type="dxa"/>
            <w:vAlign w:val="bottom"/>
            <w:shd w:val="clear" w:color="auto" w:fill="D4EFF4"/>
          </w:tcPr>
          <w:p>
            <w:pPr>
              <w:spacing w:after="0"/>
              <w:rPr>
                <w:sz w:val="21"/>
                <w:szCs w:val="21"/>
                <w:color w:val="auto"/>
              </w:rPr>
            </w:pPr>
          </w:p>
        </w:tc>
        <w:tc>
          <w:tcPr>
            <w:tcW w:w="90" w:type="dxa"/>
            <w:vAlign w:val="bottom"/>
            <w:shd w:val="clear" w:color="auto" w:fill="D4EFF4"/>
          </w:tcPr>
          <w:p>
            <w:pPr>
              <w:spacing w:after="0"/>
              <w:rPr>
                <w:sz w:val="21"/>
                <w:szCs w:val="21"/>
                <w:color w:val="auto"/>
              </w:rPr>
            </w:pPr>
          </w:p>
        </w:tc>
        <w:tc>
          <w:tcPr>
            <w:tcW w:w="3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Prepaid employee-related costs</w:t>
            </w:r>
          </w:p>
        </w:tc>
        <w:tc>
          <w:tcPr>
            <w:tcW w:w="11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5" w:type="dxa"/>
            <w:vAlign w:val="bottom"/>
          </w:tcPr>
          <w:p>
            <w:pPr>
              <w:spacing w:after="0"/>
              <w:rPr>
                <w:sz w:val="21"/>
                <w:szCs w:val="21"/>
                <w:color w:val="auto"/>
              </w:rPr>
            </w:pPr>
          </w:p>
        </w:tc>
        <w:tc>
          <w:tcPr>
            <w:tcW w:w="1365"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4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Other</w:t>
            </w:r>
          </w:p>
        </w:tc>
        <w:tc>
          <w:tcPr>
            <w:tcW w:w="110" w:type="dxa"/>
            <w:vAlign w:val="bottom"/>
            <w:shd w:val="clear" w:color="auto" w:fill="D4EFF4"/>
          </w:tcPr>
          <w:p>
            <w:pPr>
              <w:spacing w:after="0"/>
              <w:rPr>
                <w:sz w:val="21"/>
                <w:szCs w:val="21"/>
                <w:color w:val="auto"/>
              </w:rPr>
            </w:pPr>
          </w:p>
        </w:tc>
        <w:tc>
          <w:tcPr>
            <w:tcW w:w="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55" w:type="dxa"/>
            <w:vAlign w:val="bottom"/>
            <w:tcBorders>
              <w:bottom w:val="single" w:sz="8" w:color="auto"/>
            </w:tcBorders>
            <w:shd w:val="clear" w:color="auto" w:fill="D4EFF4"/>
          </w:tcPr>
          <w:p>
            <w:pPr>
              <w:spacing w:after="0"/>
              <w:rPr>
                <w:sz w:val="21"/>
                <w:szCs w:val="21"/>
                <w:color w:val="auto"/>
              </w:rPr>
            </w:pPr>
          </w:p>
        </w:tc>
        <w:tc>
          <w:tcPr>
            <w:tcW w:w="1365"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40" w:type="dxa"/>
            <w:vAlign w:val="bottom"/>
            <w:tcBorders>
              <w:bottom w:val="single" w:sz="8" w:color="auto"/>
            </w:tcBorders>
            <w:shd w:val="clear" w:color="auto" w:fill="D4EFF4"/>
          </w:tcPr>
          <w:p>
            <w:pPr>
              <w:spacing w:after="0"/>
              <w:rPr>
                <w:sz w:val="21"/>
                <w:szCs w:val="21"/>
                <w:color w:val="auto"/>
              </w:rPr>
            </w:pPr>
          </w:p>
        </w:tc>
        <w:tc>
          <w:tcPr>
            <w:tcW w:w="90" w:type="dxa"/>
            <w:vAlign w:val="bottom"/>
            <w:shd w:val="clear" w:color="auto" w:fill="D4EFF4"/>
          </w:tcPr>
          <w:p>
            <w:pPr>
              <w:spacing w:after="0"/>
              <w:rPr>
                <w:sz w:val="21"/>
                <w:szCs w:val="21"/>
                <w:color w:val="auto"/>
              </w:rPr>
            </w:pPr>
          </w:p>
        </w:tc>
        <w:tc>
          <w:tcPr>
            <w:tcW w:w="3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80" w:type="dxa"/>
            <w:vAlign w:val="bottom"/>
            <w:tcBorders>
              <w:bottom w:val="single" w:sz="8" w:color="auto"/>
            </w:tcBorders>
            <w:shd w:val="clear" w:color="auto" w:fill="D4EFF4"/>
          </w:tcPr>
          <w:p>
            <w:pPr>
              <w:spacing w:after="0"/>
              <w:rPr>
                <w:sz w:val="21"/>
                <w:szCs w:val="21"/>
                <w:color w:val="auto"/>
              </w:rPr>
            </w:pPr>
          </w:p>
        </w:tc>
        <w:tc>
          <w:tcPr>
            <w:tcW w:w="20" w:type="dxa"/>
            <w:vAlign w:val="bottom"/>
            <w:tcBorders>
              <w:bottom w:val="single" w:sz="8" w:color="auto"/>
            </w:tcBorders>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494</w:t>
            </w:r>
          </w:p>
        </w:tc>
        <w:tc>
          <w:tcPr>
            <w:tcW w:w="120" w:type="dxa"/>
            <w:vAlign w:val="bottom"/>
            <w:tcBorders>
              <w:bottom w:val="single" w:sz="8" w:color="auto"/>
            </w:tcBorders>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139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155"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5"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9,620</w:t>
            </w:r>
          </w:p>
        </w:tc>
        <w:tc>
          <w:tcPr>
            <w:tcW w:w="40" w:type="dxa"/>
            <w:vAlign w:val="bottom"/>
          </w:tcPr>
          <w:p>
            <w:pPr>
              <w:spacing w:after="0"/>
              <w:rPr>
                <w:sz w:val="20"/>
                <w:szCs w:val="20"/>
                <w:color w:val="auto"/>
              </w:rPr>
            </w:pPr>
          </w:p>
        </w:tc>
        <w:tc>
          <w:tcPr>
            <w:tcW w:w="90" w:type="dxa"/>
            <w:vAlign w:val="bottom"/>
          </w:tcPr>
          <w:p>
            <w:pPr>
              <w:spacing w:after="0"/>
              <w:rPr>
                <w:sz w:val="20"/>
                <w:szCs w:val="20"/>
                <w:color w:val="auto"/>
              </w:rPr>
            </w:pPr>
          </w:p>
        </w:tc>
        <w:tc>
          <w:tcPr>
            <w:tcW w:w="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79"/>
              </w:rPr>
              <w:t>$</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9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5. Property and equipment, net</w:t>
            </w:r>
          </w:p>
        </w:tc>
        <w:tc>
          <w:tcPr>
            <w:tcW w:w="11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5" w:type="dxa"/>
            <w:vAlign w:val="bottom"/>
            <w:tcBorders>
              <w:top w:val="single" w:sz="8" w:color="auto"/>
              <w:bottom w:val="single" w:sz="8" w:color="auto"/>
            </w:tcBorders>
          </w:tcPr>
          <w:p>
            <w:pPr>
              <w:spacing w:after="0" w:line="20" w:lineRule="exact"/>
              <w:rPr>
                <w:sz w:val="1"/>
                <w:szCs w:val="1"/>
                <w:color w:val="auto"/>
              </w:rPr>
            </w:pPr>
          </w:p>
        </w:tc>
        <w:tc>
          <w:tcPr>
            <w:tcW w:w="1265"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90" w:type="dxa"/>
            <w:vAlign w:val="bottom"/>
            <w:gridSpan w:val="2"/>
            <w:vMerge w:val="continue"/>
          </w:tcPr>
          <w:p>
            <w:pPr>
              <w:spacing w:after="0"/>
              <w:rPr>
                <w:sz w:val="24"/>
                <w:szCs w:val="24"/>
                <w:color w:val="auto"/>
              </w:rPr>
            </w:pP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26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99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Property and equipment, net consisted of the following (in thousands):</w:t>
            </w: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26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600" w:type="dxa"/>
            <w:vAlign w:val="bottom"/>
          </w:tcPr>
          <w:p>
            <w:pPr>
              <w:spacing w:after="0"/>
              <w:rPr>
                <w:sz w:val="24"/>
                <w:szCs w:val="24"/>
                <w:color w:val="auto"/>
              </w:rPr>
            </w:pPr>
          </w:p>
        </w:tc>
        <w:tc>
          <w:tcPr>
            <w:tcW w:w="1390" w:type="dxa"/>
            <w:vAlign w:val="bottom"/>
          </w:tcPr>
          <w:p>
            <w:pPr>
              <w:spacing w:after="0"/>
              <w:rPr>
                <w:sz w:val="24"/>
                <w:szCs w:val="24"/>
                <w:color w:val="auto"/>
              </w:rPr>
            </w:pPr>
          </w:p>
        </w:tc>
        <w:tc>
          <w:tcPr>
            <w:tcW w:w="11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5" w:type="dxa"/>
            <w:vAlign w:val="bottom"/>
          </w:tcPr>
          <w:p>
            <w:pPr>
              <w:spacing w:after="0"/>
              <w:rPr>
                <w:sz w:val="24"/>
                <w:szCs w:val="24"/>
                <w:color w:val="auto"/>
              </w:rPr>
            </w:pPr>
          </w:p>
        </w:tc>
        <w:tc>
          <w:tcPr>
            <w:tcW w:w="1495" w:type="dxa"/>
            <w:vAlign w:val="bottom"/>
            <w:gridSpan w:val="4"/>
          </w:tcPr>
          <w:p>
            <w:pPr>
              <w:ind w:left="4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5600" w:type="dxa"/>
            <w:vAlign w:val="bottom"/>
            <w:tcBorders>
              <w:bottom w:val="single" w:sz="8" w:color="D4EFF4"/>
            </w:tcBorders>
          </w:tcPr>
          <w:p>
            <w:pPr>
              <w:spacing w:after="0"/>
              <w:rPr>
                <w:sz w:val="17"/>
                <w:szCs w:val="17"/>
                <w:color w:val="auto"/>
              </w:rPr>
            </w:pPr>
          </w:p>
        </w:tc>
        <w:tc>
          <w:tcPr>
            <w:tcW w:w="1390" w:type="dxa"/>
            <w:vAlign w:val="bottom"/>
            <w:tcBorders>
              <w:bottom w:val="single" w:sz="8" w:color="D4EFF4"/>
            </w:tcBorders>
          </w:tcPr>
          <w:p>
            <w:pPr>
              <w:spacing w:after="0"/>
              <w:rPr>
                <w:sz w:val="17"/>
                <w:szCs w:val="17"/>
                <w:color w:val="auto"/>
              </w:rPr>
            </w:pPr>
          </w:p>
        </w:tc>
        <w:tc>
          <w:tcPr>
            <w:tcW w:w="110" w:type="dxa"/>
            <w:vAlign w:val="bottom"/>
            <w:tcBorders>
              <w:bottom w:val="single" w:sz="8" w:color="D4EFF4"/>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5" w:type="dxa"/>
            <w:vAlign w:val="bottom"/>
            <w:tcBorders>
              <w:bottom w:val="single" w:sz="8" w:color="auto"/>
            </w:tcBorders>
          </w:tcPr>
          <w:p>
            <w:pPr>
              <w:spacing w:after="0"/>
              <w:rPr>
                <w:sz w:val="17"/>
                <w:szCs w:val="17"/>
                <w:color w:val="auto"/>
              </w:rPr>
            </w:pPr>
          </w:p>
        </w:tc>
        <w:tc>
          <w:tcPr>
            <w:tcW w:w="1265"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D4EFF4"/>
            </w:tcBorders>
          </w:tcPr>
          <w:p>
            <w:pPr>
              <w:spacing w:after="0"/>
              <w:rPr>
                <w:sz w:val="17"/>
                <w:szCs w:val="17"/>
                <w:color w:val="auto"/>
              </w:rPr>
            </w:pPr>
          </w:p>
        </w:tc>
        <w:tc>
          <w:tcPr>
            <w:tcW w:w="90" w:type="dxa"/>
            <w:vAlign w:val="bottom"/>
            <w:tcBorders>
              <w:bottom w:val="single" w:sz="8" w:color="D4EFF4"/>
            </w:tcBorders>
          </w:tcPr>
          <w:p>
            <w:pPr>
              <w:spacing w:after="0"/>
              <w:rPr>
                <w:sz w:val="17"/>
                <w:szCs w:val="17"/>
                <w:color w:val="auto"/>
              </w:rPr>
            </w:pPr>
          </w:p>
        </w:tc>
        <w:tc>
          <w:tcPr>
            <w:tcW w:w="3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4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9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Office equipment</w:t>
            </w:r>
          </w:p>
        </w:tc>
        <w:tc>
          <w:tcPr>
            <w:tcW w:w="110" w:type="dxa"/>
            <w:vAlign w:val="bottom"/>
            <w:shd w:val="clear" w:color="auto" w:fill="D4EFF4"/>
          </w:tcPr>
          <w:p>
            <w:pPr>
              <w:spacing w:after="0"/>
              <w:rPr>
                <w:sz w:val="19"/>
                <w:szCs w:val="19"/>
                <w:color w:val="auto"/>
              </w:rPr>
            </w:pPr>
          </w:p>
        </w:tc>
        <w:tc>
          <w:tcPr>
            <w:tcW w:w="215" w:type="dxa"/>
            <w:vAlign w:val="bottom"/>
            <w:gridSpan w:val="3"/>
            <w:shd w:val="clear" w:color="auto" w:fill="D4EFF4"/>
          </w:tcPr>
          <w:p>
            <w:pPr>
              <w:jc w:val="right"/>
              <w:ind w:right="15"/>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65"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559</w:t>
            </w:r>
          </w:p>
        </w:tc>
        <w:tc>
          <w:tcPr>
            <w:tcW w:w="10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90" w:type="dxa"/>
            <w:vAlign w:val="bottom"/>
            <w:shd w:val="clear" w:color="auto" w:fill="D4EFF4"/>
          </w:tcPr>
          <w:p>
            <w:pPr>
              <w:spacing w:after="0"/>
              <w:rPr>
                <w:sz w:val="19"/>
                <w:szCs w:val="19"/>
                <w:color w:val="auto"/>
              </w:rPr>
            </w:pPr>
          </w:p>
        </w:tc>
        <w:tc>
          <w:tcPr>
            <w:tcW w:w="3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gridSpan w:val="2"/>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4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465</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9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11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5" w:type="dxa"/>
            <w:vAlign w:val="bottom"/>
          </w:tcPr>
          <w:p>
            <w:pPr>
              <w:spacing w:after="0"/>
              <w:rPr>
                <w:sz w:val="21"/>
                <w:szCs w:val="21"/>
                <w:color w:val="auto"/>
              </w:rPr>
            </w:pPr>
          </w:p>
        </w:tc>
        <w:tc>
          <w:tcPr>
            <w:tcW w:w="1265"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990" w:type="dxa"/>
            <w:vAlign w:val="bottom"/>
            <w:gridSpan w:val="2"/>
            <w:shd w:val="clear" w:color="auto" w:fill="D4EFF4"/>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10" w:type="dxa"/>
            <w:vAlign w:val="bottom"/>
            <w:shd w:val="clear" w:color="auto" w:fill="D4EFF4"/>
          </w:tcPr>
          <w:p>
            <w:pPr>
              <w:spacing w:after="0"/>
              <w:rPr>
                <w:sz w:val="21"/>
                <w:szCs w:val="21"/>
                <w:color w:val="auto"/>
              </w:rPr>
            </w:pPr>
          </w:p>
        </w:tc>
        <w:tc>
          <w:tcPr>
            <w:tcW w:w="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55" w:type="dxa"/>
            <w:vAlign w:val="bottom"/>
            <w:shd w:val="clear" w:color="auto" w:fill="D4EFF4"/>
          </w:tcPr>
          <w:p>
            <w:pPr>
              <w:spacing w:after="0"/>
              <w:rPr>
                <w:sz w:val="21"/>
                <w:szCs w:val="21"/>
                <w:color w:val="auto"/>
              </w:rPr>
            </w:pPr>
          </w:p>
        </w:tc>
        <w:tc>
          <w:tcPr>
            <w:tcW w:w="1265"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100" w:type="dxa"/>
            <w:vAlign w:val="bottom"/>
            <w:shd w:val="clear" w:color="auto" w:fill="D4EFF4"/>
          </w:tcPr>
          <w:p>
            <w:pPr>
              <w:spacing w:after="0"/>
              <w:rPr>
                <w:sz w:val="21"/>
                <w:szCs w:val="21"/>
                <w:color w:val="auto"/>
              </w:rPr>
            </w:pPr>
          </w:p>
        </w:tc>
        <w:tc>
          <w:tcPr>
            <w:tcW w:w="40" w:type="dxa"/>
            <w:vAlign w:val="bottom"/>
            <w:shd w:val="clear" w:color="auto" w:fill="D4EFF4"/>
          </w:tcPr>
          <w:p>
            <w:pPr>
              <w:spacing w:after="0"/>
              <w:rPr>
                <w:sz w:val="21"/>
                <w:szCs w:val="21"/>
                <w:color w:val="auto"/>
              </w:rPr>
            </w:pPr>
          </w:p>
        </w:tc>
        <w:tc>
          <w:tcPr>
            <w:tcW w:w="90" w:type="dxa"/>
            <w:vAlign w:val="bottom"/>
            <w:shd w:val="clear" w:color="auto" w:fill="D4EFF4"/>
          </w:tcPr>
          <w:p>
            <w:pPr>
              <w:spacing w:after="0"/>
              <w:rPr>
                <w:sz w:val="21"/>
                <w:szCs w:val="21"/>
                <w:color w:val="auto"/>
              </w:rPr>
            </w:pPr>
          </w:p>
        </w:tc>
        <w:tc>
          <w:tcPr>
            <w:tcW w:w="3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71</w:t>
            </w: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99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110" w:type="dxa"/>
            <w:vAlign w:val="bottom"/>
            <w:tcBorders>
              <w:bottom w:val="single" w:sz="8" w:color="D4EFF4"/>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5" w:type="dxa"/>
            <w:vAlign w:val="bottom"/>
            <w:tcBorders>
              <w:bottom w:val="single" w:sz="8" w:color="auto"/>
            </w:tcBorders>
          </w:tcPr>
          <w:p>
            <w:pPr>
              <w:spacing w:after="0"/>
              <w:rPr>
                <w:sz w:val="21"/>
                <w:szCs w:val="21"/>
                <w:color w:val="auto"/>
              </w:rPr>
            </w:pPr>
          </w:p>
        </w:tc>
        <w:tc>
          <w:tcPr>
            <w:tcW w:w="126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w:t>
            </w: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3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600" w:type="dxa"/>
            <w:vAlign w:val="bottom"/>
            <w:shd w:val="clear" w:color="auto" w:fill="D4EFF4"/>
          </w:tcPr>
          <w:p>
            <w:pPr>
              <w:spacing w:after="0"/>
              <w:rPr>
                <w:sz w:val="20"/>
                <w:szCs w:val="20"/>
                <w:color w:val="auto"/>
              </w:rPr>
            </w:pPr>
          </w:p>
        </w:tc>
        <w:tc>
          <w:tcPr>
            <w:tcW w:w="1390" w:type="dxa"/>
            <w:vAlign w:val="bottom"/>
            <w:shd w:val="clear" w:color="auto" w:fill="D4EFF4"/>
          </w:tcPr>
          <w:p>
            <w:pPr>
              <w:spacing w:after="0"/>
              <w:rPr>
                <w:sz w:val="20"/>
                <w:szCs w:val="20"/>
                <w:color w:val="auto"/>
              </w:rPr>
            </w:pPr>
          </w:p>
        </w:tc>
        <w:tc>
          <w:tcPr>
            <w:tcW w:w="110" w:type="dxa"/>
            <w:vAlign w:val="bottom"/>
            <w:shd w:val="clear" w:color="auto" w:fill="D4EFF4"/>
          </w:tcPr>
          <w:p>
            <w:pPr>
              <w:spacing w:after="0"/>
              <w:rPr>
                <w:sz w:val="20"/>
                <w:szCs w:val="20"/>
                <w:color w:val="auto"/>
              </w:rPr>
            </w:pPr>
          </w:p>
        </w:tc>
        <w:tc>
          <w:tcPr>
            <w:tcW w:w="4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55" w:type="dxa"/>
            <w:vAlign w:val="bottom"/>
            <w:shd w:val="clear" w:color="auto" w:fill="D4EFF4"/>
          </w:tcPr>
          <w:p>
            <w:pPr>
              <w:spacing w:after="0"/>
              <w:rPr>
                <w:sz w:val="20"/>
                <w:szCs w:val="20"/>
                <w:color w:val="auto"/>
              </w:rPr>
            </w:pPr>
          </w:p>
        </w:tc>
        <w:tc>
          <w:tcPr>
            <w:tcW w:w="1265"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903</w:t>
            </w:r>
          </w:p>
        </w:tc>
        <w:tc>
          <w:tcPr>
            <w:tcW w:w="100" w:type="dxa"/>
            <w:vAlign w:val="bottom"/>
            <w:shd w:val="clear" w:color="auto" w:fill="D4EFF4"/>
          </w:tcPr>
          <w:p>
            <w:pPr>
              <w:spacing w:after="0"/>
              <w:rPr>
                <w:sz w:val="20"/>
                <w:szCs w:val="20"/>
                <w:color w:val="auto"/>
              </w:rPr>
            </w:pPr>
          </w:p>
        </w:tc>
        <w:tc>
          <w:tcPr>
            <w:tcW w:w="40" w:type="dxa"/>
            <w:vAlign w:val="bottom"/>
            <w:shd w:val="clear" w:color="auto" w:fill="D4EFF4"/>
          </w:tcPr>
          <w:p>
            <w:pPr>
              <w:spacing w:after="0"/>
              <w:rPr>
                <w:sz w:val="20"/>
                <w:szCs w:val="20"/>
                <w:color w:val="auto"/>
              </w:rPr>
            </w:pPr>
          </w:p>
        </w:tc>
        <w:tc>
          <w:tcPr>
            <w:tcW w:w="90" w:type="dxa"/>
            <w:vAlign w:val="bottom"/>
            <w:shd w:val="clear" w:color="auto" w:fill="D4EFF4"/>
          </w:tcPr>
          <w:p>
            <w:pPr>
              <w:spacing w:after="0"/>
              <w:rPr>
                <w:sz w:val="20"/>
                <w:szCs w:val="20"/>
                <w:color w:val="auto"/>
              </w:rPr>
            </w:pPr>
          </w:p>
        </w:tc>
        <w:tc>
          <w:tcPr>
            <w:tcW w:w="3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2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738</w:t>
            </w:r>
          </w:p>
        </w:tc>
        <w:tc>
          <w:tcPr>
            <w:tcW w:w="12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99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Less: Accumulated depreciation and amortization</w:t>
            </w:r>
          </w:p>
        </w:tc>
        <w:tc>
          <w:tcPr>
            <w:tcW w:w="110" w:type="dxa"/>
            <w:vAlign w:val="bottom"/>
            <w:tcBorders>
              <w:bottom w:val="single" w:sz="8" w:color="D4EFF4"/>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5" w:type="dxa"/>
            <w:vAlign w:val="bottom"/>
            <w:tcBorders>
              <w:bottom w:val="single" w:sz="8" w:color="auto"/>
            </w:tcBorders>
          </w:tcPr>
          <w:p>
            <w:pPr>
              <w:spacing w:after="0"/>
              <w:rPr>
                <w:sz w:val="21"/>
                <w:szCs w:val="21"/>
                <w:color w:val="auto"/>
              </w:rPr>
            </w:pPr>
          </w:p>
        </w:tc>
        <w:tc>
          <w:tcPr>
            <w:tcW w:w="1265"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40" w:type="dxa"/>
            <w:vAlign w:val="bottom"/>
            <w:tcBorders>
              <w:bottom w:val="single" w:sz="8" w:color="D4EFF4"/>
            </w:tcBorders>
          </w:tcPr>
          <w:p>
            <w:pPr>
              <w:spacing w:after="0"/>
              <w:rPr>
                <w:sz w:val="21"/>
                <w:szCs w:val="21"/>
                <w:color w:val="auto"/>
              </w:rPr>
            </w:pPr>
          </w:p>
        </w:tc>
        <w:tc>
          <w:tcPr>
            <w:tcW w:w="90" w:type="dxa"/>
            <w:vAlign w:val="bottom"/>
            <w:tcBorders>
              <w:bottom w:val="single" w:sz="8" w:color="D4EFF4"/>
            </w:tcBorders>
          </w:tcPr>
          <w:p>
            <w:pPr>
              <w:spacing w:after="0"/>
              <w:rPr>
                <w:sz w:val="21"/>
                <w:szCs w:val="21"/>
                <w:color w:val="auto"/>
              </w:rPr>
            </w:pPr>
          </w:p>
        </w:tc>
        <w:tc>
          <w:tcPr>
            <w:tcW w:w="3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highlight w:val="white"/>
                <w:w w:val="89"/>
              </w:rPr>
              <w:t>)</w:t>
            </w:r>
          </w:p>
        </w:tc>
        <w:tc>
          <w:tcPr>
            <w:tcW w:w="0" w:type="dxa"/>
            <w:vAlign w:val="bottom"/>
          </w:tcPr>
          <w:p>
            <w:pPr>
              <w:spacing w:after="0"/>
              <w:rPr>
                <w:sz w:val="1"/>
                <w:szCs w:val="1"/>
                <w:color w:val="auto"/>
              </w:rPr>
            </w:pPr>
          </w:p>
        </w:tc>
      </w:tr>
      <w:tr>
        <w:trPr>
          <w:trHeight w:val="235"/>
        </w:trPr>
        <w:tc>
          <w:tcPr>
            <w:tcW w:w="6990" w:type="dxa"/>
            <w:vAlign w:val="bottom"/>
            <w:gridSpan w:val="2"/>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10" w:type="dxa"/>
            <w:vAlign w:val="bottom"/>
            <w:shd w:val="clear" w:color="auto" w:fill="D4EFF4"/>
          </w:tcPr>
          <w:p>
            <w:pPr>
              <w:spacing w:after="0"/>
              <w:rPr>
                <w:sz w:val="20"/>
                <w:szCs w:val="20"/>
                <w:color w:val="auto"/>
              </w:rPr>
            </w:pPr>
          </w:p>
        </w:tc>
        <w:tc>
          <w:tcPr>
            <w:tcW w:w="215" w:type="dxa"/>
            <w:vAlign w:val="bottom"/>
            <w:tcBorders>
              <w:bottom w:val="single" w:sz="8" w:color="auto"/>
            </w:tcBorders>
            <w:gridSpan w:val="3"/>
            <w:shd w:val="clear" w:color="auto" w:fill="D4EFF4"/>
          </w:tcPr>
          <w:p>
            <w:pPr>
              <w:jc w:val="right"/>
              <w:ind w:right="15"/>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65"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100" w:type="dxa"/>
            <w:vAlign w:val="bottom"/>
            <w:tcBorders>
              <w:bottom w:val="single" w:sz="8" w:color="auto"/>
            </w:tcBorders>
            <w:shd w:val="clear" w:color="auto" w:fill="D4EFF4"/>
          </w:tcPr>
          <w:p>
            <w:pPr>
              <w:spacing w:after="0"/>
              <w:rPr>
                <w:sz w:val="20"/>
                <w:szCs w:val="20"/>
                <w:color w:val="auto"/>
              </w:rPr>
            </w:pPr>
          </w:p>
        </w:tc>
        <w:tc>
          <w:tcPr>
            <w:tcW w:w="40" w:type="dxa"/>
            <w:vAlign w:val="bottom"/>
            <w:shd w:val="clear" w:color="auto" w:fill="D4EFF4"/>
          </w:tcPr>
          <w:p>
            <w:pPr>
              <w:spacing w:after="0"/>
              <w:rPr>
                <w:sz w:val="20"/>
                <w:szCs w:val="20"/>
                <w:color w:val="auto"/>
              </w:rPr>
            </w:pPr>
          </w:p>
        </w:tc>
        <w:tc>
          <w:tcPr>
            <w:tcW w:w="90" w:type="dxa"/>
            <w:vAlign w:val="bottom"/>
            <w:shd w:val="clear" w:color="auto" w:fill="D4EFF4"/>
          </w:tcPr>
          <w:p>
            <w:pPr>
              <w:spacing w:after="0"/>
              <w:rPr>
                <w:sz w:val="20"/>
                <w:szCs w:val="20"/>
                <w:color w:val="auto"/>
              </w:rPr>
            </w:pPr>
          </w:p>
        </w:tc>
        <w:tc>
          <w:tcPr>
            <w:tcW w:w="30" w:type="dxa"/>
            <w:vAlign w:val="bottom"/>
            <w:shd w:val="clear" w:color="auto" w:fill="D4EFF4"/>
          </w:tcPr>
          <w:p>
            <w:pPr>
              <w:spacing w:after="0"/>
              <w:rPr>
                <w:sz w:val="20"/>
                <w:szCs w:val="20"/>
                <w:color w:val="auto"/>
              </w:rPr>
            </w:pPr>
          </w:p>
        </w:tc>
        <w:tc>
          <w:tcPr>
            <w:tcW w:w="120" w:type="dxa"/>
            <w:vAlign w:val="bottom"/>
            <w:tcBorders>
              <w:bottom w:val="single" w:sz="8" w:color="auto"/>
            </w:tcBorders>
            <w:gridSpan w:val="3"/>
            <w:shd w:val="clear" w:color="auto" w:fill="D4EFF4"/>
          </w:tcPr>
          <w:p>
            <w:pPr>
              <w:ind w:left="20"/>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spacing w:after="0"/>
              <w:rPr>
                <w:sz w:val="20"/>
                <w:szCs w:val="20"/>
                <w:color w:val="auto"/>
              </w:rPr>
            </w:pPr>
          </w:p>
        </w:tc>
        <w:tc>
          <w:tcPr>
            <w:tcW w:w="124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120" w:type="dxa"/>
            <w:vAlign w:val="bottom"/>
            <w:tcBorders>
              <w:bottom w:val="single" w:sz="8" w:color="auto"/>
            </w:tcBorders>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390" w:type="dxa"/>
            <w:vAlign w:val="bottom"/>
          </w:tcPr>
          <w:p>
            <w:pPr>
              <w:spacing w:after="0" w:line="20" w:lineRule="exact"/>
              <w:rPr>
                <w:sz w:val="1"/>
                <w:szCs w:val="1"/>
                <w:color w:val="auto"/>
              </w:rPr>
            </w:pPr>
          </w:p>
        </w:tc>
        <w:tc>
          <w:tcPr>
            <w:tcW w:w="11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5" w:type="dxa"/>
            <w:vAlign w:val="bottom"/>
            <w:tcBorders>
              <w:bottom w:val="single" w:sz="8" w:color="auto"/>
            </w:tcBorders>
          </w:tcPr>
          <w:p>
            <w:pPr>
              <w:spacing w:after="0" w:line="20" w:lineRule="exact"/>
              <w:rPr>
                <w:sz w:val="1"/>
                <w:szCs w:val="1"/>
                <w:color w:val="auto"/>
              </w:rPr>
            </w:pPr>
          </w:p>
        </w:tc>
        <w:tc>
          <w:tcPr>
            <w:tcW w:w="1265"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 w:type="dxa"/>
            <w:vAlign w:val="bottom"/>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-4677410</wp:posOffset>
                </wp:positionV>
                <wp:extent cx="6619875"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68.2999pt" to="521.6pt,-368.2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-2667000</wp:posOffset>
                </wp:positionV>
                <wp:extent cx="6619875"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0pt" to="521.6pt,-210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-655955</wp:posOffset>
                </wp:positionV>
                <wp:extent cx="6619875"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51.6499pt" to="521.6pt,-51.6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-339725</wp:posOffset>
                </wp:positionV>
                <wp:extent cx="6619875" cy="0"/>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2" o:spid="_x0000_s11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6.7499pt" to="521.6pt,-26.7499pt" o:allowincell="f" strokecolor="#FFFFFF" strokeweight="0.72pt"/>
            </w:pict>
          </mc:Fallback>
        </mc:AlternateContent>
      </w:r>
    </w:p>
    <w:p>
      <w:pPr>
        <w:spacing w:after="0" w:line="237"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20"/>
          <w:szCs w:val="20"/>
          <w:color w:val="auto"/>
        </w:rPr>
        <w:t>Depreciation and amortization expense related to property and equipment, net was $0.2 million and less than $0.1 million for of the years ended December 31, 2025 and 2024, respectively.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Accrued expenses and other current liabilities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expenses and other current liabilities consisted of the following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ind w:right="28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8"/>
        </w:trPr>
        <w:tc>
          <w:tcPr>
            <w:tcW w:w="7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07"/>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24"/>
        </w:trPr>
        <w:tc>
          <w:tcPr>
            <w:tcW w:w="710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Accrued external research and development expenses</w:t>
            </w: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480" w:type="dxa"/>
            <w:vAlign w:val="bottom"/>
            <w:shd w:val="clear" w:color="auto" w:fill="D4EFF4"/>
          </w:tcPr>
          <w:p>
            <w:pPr>
              <w:jc w:val="right"/>
              <w:ind w:right="27"/>
              <w:spacing w:after="0" w:line="224" w:lineRule="exact"/>
              <w:rPr>
                <w:sz w:val="20"/>
                <w:szCs w:val="20"/>
                <w:color w:val="auto"/>
              </w:rPr>
            </w:pPr>
            <w:r>
              <w:rPr>
                <w:rFonts w:ascii="Times New Roman" w:cs="Times New Roman" w:eastAsia="Times New Roman" w:hAnsi="Times New Roman"/>
                <w:sz w:val="20"/>
                <w:szCs w:val="20"/>
                <w:color w:val="auto"/>
              </w:rPr>
              <w:t>5,057</w:t>
            </w:r>
          </w:p>
        </w:tc>
        <w:tc>
          <w:tcPr>
            <w:tcW w:w="160" w:type="dxa"/>
            <w:vAlign w:val="bottom"/>
            <w:shd w:val="clear" w:color="auto" w:fill="D4EFF4"/>
          </w:tcPr>
          <w:p>
            <w:pPr>
              <w:spacing w:after="0"/>
              <w:rPr>
                <w:sz w:val="19"/>
                <w:szCs w:val="19"/>
                <w:color w:val="auto"/>
              </w:rPr>
            </w:pPr>
          </w:p>
        </w:tc>
        <w:tc>
          <w:tcPr>
            <w:tcW w:w="120" w:type="dxa"/>
            <w:vAlign w:val="bottom"/>
            <w:gridSpan w:val="2"/>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1480" w:type="dxa"/>
            <w:vAlign w:val="bottom"/>
            <w:shd w:val="clear" w:color="auto" w:fill="D4EFF4"/>
          </w:tcPr>
          <w:p>
            <w:pPr>
              <w:jc w:val="right"/>
              <w:ind w:right="27"/>
              <w:spacing w:after="0" w:line="224" w:lineRule="exact"/>
              <w:rPr>
                <w:sz w:val="20"/>
                <w:szCs w:val="20"/>
                <w:color w:val="auto"/>
              </w:rPr>
            </w:pPr>
            <w:r>
              <w:rPr>
                <w:rFonts w:ascii="Times New Roman" w:cs="Times New Roman" w:eastAsia="Times New Roman" w:hAnsi="Times New Roman"/>
                <w:sz w:val="20"/>
                <w:szCs w:val="20"/>
                <w:color w:val="auto"/>
              </w:rPr>
              <w:t>2,807</w:t>
            </w:r>
          </w:p>
        </w:tc>
      </w:tr>
      <w:tr>
        <w:trPr>
          <w:trHeight w:val="244"/>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Accrued employee compensation and benefits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4,192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2,697</w:t>
            </w:r>
          </w:p>
        </w:tc>
      </w:tr>
      <w:tr>
        <w:trPr>
          <w:trHeight w:val="245"/>
        </w:trPr>
        <w:tc>
          <w:tcPr>
            <w:tcW w:w="710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Accrued consultant and professional fees</w:t>
            </w:r>
          </w:p>
        </w:tc>
        <w:tc>
          <w:tcPr>
            <w:tcW w:w="20" w:type="dxa"/>
            <w:vAlign w:val="bottom"/>
            <w:shd w:val="clear" w:color="auto" w:fill="D4EFF4"/>
          </w:tcPr>
          <w:p>
            <w:pPr>
              <w:spacing w:after="0"/>
              <w:rPr>
                <w:sz w:val="21"/>
                <w:szCs w:val="21"/>
                <w:color w:val="auto"/>
              </w:rPr>
            </w:pPr>
          </w:p>
        </w:tc>
        <w:tc>
          <w:tcPr>
            <w:tcW w:w="80" w:type="dxa"/>
            <w:vAlign w:val="bottom"/>
            <w:tcBorders>
              <w:bottom w:val="single" w:sz="8" w:color="auto"/>
            </w:tcBorders>
            <w:shd w:val="clear" w:color="auto" w:fill="D4EFF4"/>
          </w:tcPr>
          <w:p>
            <w:pPr>
              <w:spacing w:after="0"/>
              <w:rPr>
                <w:sz w:val="21"/>
                <w:szCs w:val="21"/>
                <w:color w:val="auto"/>
              </w:rPr>
            </w:pPr>
          </w:p>
        </w:tc>
        <w:tc>
          <w:tcPr>
            <w:tcW w:w="1480" w:type="dxa"/>
            <w:vAlign w:val="bottom"/>
            <w:tcBorders>
              <w:bottom w:val="single" w:sz="8" w:color="auto"/>
            </w:tcBorders>
            <w:shd w:val="clear" w:color="auto" w:fill="D4EFF4"/>
          </w:tcPr>
          <w:p>
            <w:pPr>
              <w:jc w:val="right"/>
              <w:ind w:right="27"/>
              <w:spacing w:after="0"/>
              <w:rPr>
                <w:sz w:val="20"/>
                <w:szCs w:val="20"/>
                <w:color w:val="auto"/>
              </w:rPr>
            </w:pPr>
            <w:r>
              <w:rPr>
                <w:rFonts w:ascii="Times New Roman" w:cs="Times New Roman" w:eastAsia="Times New Roman" w:hAnsi="Times New Roman"/>
                <w:sz w:val="20"/>
                <w:szCs w:val="20"/>
                <w:color w:val="auto"/>
              </w:rPr>
              <w:t>757</w:t>
            </w:r>
          </w:p>
        </w:tc>
        <w:tc>
          <w:tcPr>
            <w:tcW w:w="16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480" w:type="dxa"/>
            <w:vAlign w:val="bottom"/>
            <w:tcBorders>
              <w:bottom w:val="single" w:sz="8" w:color="auto"/>
            </w:tcBorders>
            <w:shd w:val="clear" w:color="auto" w:fill="D4EFF4"/>
          </w:tcPr>
          <w:p>
            <w:pPr>
              <w:jc w:val="right"/>
              <w:ind w:right="27"/>
              <w:spacing w:after="0"/>
              <w:rPr>
                <w:sz w:val="20"/>
                <w:szCs w:val="20"/>
                <w:color w:val="auto"/>
              </w:rPr>
            </w:pPr>
            <w:r>
              <w:rPr>
                <w:rFonts w:ascii="Times New Roman" w:cs="Times New Roman" w:eastAsia="Times New Roman" w:hAnsi="Times New Roman"/>
                <w:sz w:val="20"/>
                <w:szCs w:val="20"/>
                <w:color w:val="auto"/>
              </w:rPr>
              <w:t>488</w:t>
            </w:r>
          </w:p>
        </w:tc>
      </w:tr>
      <w:tr>
        <w:trPr>
          <w:trHeight w:val="236"/>
        </w:trPr>
        <w:tc>
          <w:tcPr>
            <w:tcW w:w="7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10,006</w:t>
            </w:r>
          </w:p>
        </w:tc>
        <w:tc>
          <w:tcPr>
            <w:tcW w:w="180" w:type="dxa"/>
            <w:vAlign w:val="bottom"/>
            <w:gridSpan w:val="2"/>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8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5,992</w:t>
            </w:r>
          </w:p>
        </w:tc>
      </w:tr>
      <w:tr>
        <w:trPr>
          <w:trHeight w:val="20"/>
        </w:trPr>
        <w:tc>
          <w:tcPr>
            <w:tcW w:w="7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4511675</wp:posOffset>
                </wp:positionH>
                <wp:positionV relativeFrom="paragraph">
                  <wp:posOffset>-179070</wp:posOffset>
                </wp:positionV>
                <wp:extent cx="1001395" cy="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139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3" o:spid="_x0000_s11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25pt,-14.0999pt" to="434.1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5622290</wp:posOffset>
                </wp:positionH>
                <wp:positionV relativeFrom="paragraph">
                  <wp:posOffset>-179070</wp:posOffset>
                </wp:positionV>
                <wp:extent cx="100203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203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7pt,-14.0999pt" to="521.6pt,-14.0999pt" o:allowincell="f" strokecolor="#FFFFFF" strokeweight="0.72pt"/>
            </w:pict>
          </mc:Fallback>
        </mc:AlternateConten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10440"/>
          </w:cols>
          <w:pgMar w:left="900" w:top="696" w:right="900" w:bottom="187" w:gutter="0" w:footer="0" w:header="0"/>
          <w:type w:val="continuous"/>
        </w:sectPr>
      </w:pPr>
    </w:p>
    <w:bookmarkStart w:id="148" w:name="page149"/>
    <w:bookmarkEnd w:id="148"/>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Leases</w:t>
      </w:r>
    </w:p>
    <w:p>
      <w:pPr>
        <w:spacing w:after="0" w:line="123"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As of December 31, 2025, the Company was a party to a lease related to commercial real estate under a non-cancelable lease term and a short-term lease related to commercial real estate.</w:t>
      </w:r>
    </w:p>
    <w:p>
      <w:pPr>
        <w:spacing w:after="0" w:line="168"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In July 2024, the Company entered into an operating lease agreement for office space located at 890 Winter Street in Waltham, Massachusetts. The lease commenced in September 2024 and the Company began paying monthly rent starting one month after the lease commenced. The Company occupies approximately 16,801 square feet of space under a three-year agreement expiring in October 2027. Initial base rent was approximately $0.7 million for the first year and approximately $0.8 million for the second and third year.</w:t>
      </w:r>
    </w:p>
    <w:p>
      <w:pPr>
        <w:spacing w:after="0" w:line="197"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During the year ended December 31, 2024, the Company had an operating lease for office space at 460 Totten Pond Road, Waltham, Massachusetts. In July 2024, the Company provided notice of termination. This notice became effective on October 9, 2024, after which the Company’s rights and obligations under this lease ceased. The lease expired on June 30, 2024, after which the Company continued to pay rent on a month-to-month basis until October 9, 2024. Under its lease, the Company pays a proportional share of operating expenses. Such operating expenses are subject to annual adjustment and are accounted for as variable payments in the period in which they are incurred.</w:t>
      </w:r>
    </w:p>
    <w:p>
      <w:pPr>
        <w:spacing w:after="0" w:line="20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color w:val="auto"/>
        </w:rPr>
        <w:t>The components of lease cost, which are included in the consolidated statements of operations and comprehensive loss,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90" w:type="dxa"/>
            <w:vAlign w:val="bottom"/>
          </w:tcPr>
          <w:p>
            <w:pPr>
              <w:spacing w:after="0"/>
              <w:rPr>
                <w:sz w:val="17"/>
                <w:szCs w:val="17"/>
                <w:color w:val="auto"/>
              </w:rPr>
            </w:pPr>
          </w:p>
        </w:tc>
        <w:tc>
          <w:tcPr>
            <w:tcW w:w="13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6990" w:type="dxa"/>
            <w:vAlign w:val="bottom"/>
          </w:tcPr>
          <w:p>
            <w:pPr>
              <w:spacing w:after="0"/>
              <w:rPr>
                <w:sz w:val="20"/>
                <w:szCs w:val="20"/>
                <w:color w:val="auto"/>
              </w:rPr>
            </w:pPr>
          </w:p>
        </w:tc>
        <w:tc>
          <w:tcPr>
            <w:tcW w:w="113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4"/>
        </w:trPr>
        <w:tc>
          <w:tcPr>
            <w:tcW w:w="6990" w:type="dxa"/>
            <w:vAlign w:val="bottom"/>
            <w:tcBorders>
              <w:top w:val="single" w:sz="8" w:color="D4EFF4"/>
            </w:tcBorders>
            <w:shd w:val="clear" w:color="auto" w:fill="D4EFF4"/>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Lease Cost:</w:t>
            </w:r>
          </w:p>
        </w:tc>
        <w:tc>
          <w:tcPr>
            <w:tcW w:w="130" w:type="dxa"/>
            <w:vAlign w:val="bottom"/>
            <w:tcBorders>
              <w:top w:val="single" w:sz="8" w:color="D4EFF4"/>
            </w:tcBorders>
            <w:shd w:val="clear" w:color="auto" w:fill="D4EFF4"/>
          </w:tcPr>
          <w:p>
            <w:pPr>
              <w:spacing w:after="0"/>
              <w:rPr>
                <w:sz w:val="19"/>
                <w:szCs w:val="19"/>
                <w:color w:val="auto"/>
              </w:rPr>
            </w:pPr>
          </w:p>
        </w:tc>
        <w:tc>
          <w:tcPr>
            <w:tcW w:w="4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100" w:type="dxa"/>
            <w:vAlign w:val="bottom"/>
            <w:tcBorders>
              <w:top w:val="single" w:sz="8" w:color="auto"/>
            </w:tcBorders>
            <w:shd w:val="clear" w:color="auto" w:fill="D4EFF4"/>
          </w:tcPr>
          <w:p>
            <w:pPr>
              <w:spacing w:after="0"/>
              <w:rPr>
                <w:sz w:val="19"/>
                <w:szCs w:val="19"/>
                <w:color w:val="auto"/>
              </w:rPr>
            </w:pPr>
          </w:p>
        </w:tc>
        <w:tc>
          <w:tcPr>
            <w:tcW w:w="840" w:type="dxa"/>
            <w:vAlign w:val="bottom"/>
            <w:tcBorders>
              <w:top w:val="single" w:sz="8" w:color="auto"/>
            </w:tcBorders>
            <w:shd w:val="clear" w:color="auto" w:fill="D4EFF4"/>
          </w:tcPr>
          <w:p>
            <w:pPr>
              <w:spacing w:after="0"/>
              <w:rPr>
                <w:sz w:val="19"/>
                <w:szCs w:val="19"/>
                <w:color w:val="auto"/>
              </w:rPr>
            </w:pPr>
          </w:p>
        </w:tc>
        <w:tc>
          <w:tcPr>
            <w:tcW w:w="420" w:type="dxa"/>
            <w:vAlign w:val="bottom"/>
            <w:tcBorders>
              <w:top w:val="single" w:sz="8" w:color="auto"/>
            </w:tcBorders>
            <w:shd w:val="clear" w:color="auto" w:fill="D4EFF4"/>
          </w:tcPr>
          <w:p>
            <w:pPr>
              <w:spacing w:after="0"/>
              <w:rPr>
                <w:sz w:val="19"/>
                <w:szCs w:val="19"/>
                <w:color w:val="auto"/>
              </w:rPr>
            </w:pPr>
          </w:p>
        </w:tc>
        <w:tc>
          <w:tcPr>
            <w:tcW w:w="80" w:type="dxa"/>
            <w:vAlign w:val="bottom"/>
            <w:tcBorders>
              <w:top w:val="single" w:sz="8" w:color="auto"/>
            </w:tcBorders>
            <w:shd w:val="clear" w:color="auto" w:fill="D4EFF4"/>
          </w:tcPr>
          <w:p>
            <w:pPr>
              <w:spacing w:after="0"/>
              <w:rPr>
                <w:sz w:val="19"/>
                <w:szCs w:val="19"/>
                <w:color w:val="auto"/>
              </w:rPr>
            </w:pPr>
          </w:p>
        </w:tc>
        <w:tc>
          <w:tcPr>
            <w:tcW w:w="80" w:type="dxa"/>
            <w:vAlign w:val="bottom"/>
            <w:tcBorders>
              <w:top w:val="single" w:sz="8" w:color="auto"/>
            </w:tcBorders>
            <w:shd w:val="clear" w:color="auto" w:fill="D4EFF4"/>
          </w:tcPr>
          <w:p>
            <w:pPr>
              <w:spacing w:after="0"/>
              <w:rPr>
                <w:sz w:val="19"/>
                <w:szCs w:val="19"/>
                <w:color w:val="auto"/>
              </w:rPr>
            </w:pPr>
          </w:p>
        </w:tc>
        <w:tc>
          <w:tcPr>
            <w:tcW w:w="20" w:type="dxa"/>
            <w:vAlign w:val="bottom"/>
            <w:tcBorders>
              <w:top w:val="single" w:sz="8" w:color="auto"/>
            </w:tcBorders>
            <w:shd w:val="clear" w:color="auto" w:fill="D4EFF4"/>
          </w:tcPr>
          <w:p>
            <w:pPr>
              <w:spacing w:after="0"/>
              <w:rPr>
                <w:sz w:val="19"/>
                <w:szCs w:val="19"/>
                <w:color w:val="auto"/>
              </w:rPr>
            </w:pPr>
          </w:p>
        </w:tc>
        <w:tc>
          <w:tcPr>
            <w:tcW w:w="12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20" w:type="dxa"/>
            <w:vAlign w:val="bottom"/>
            <w:tcBorders>
              <w:top w:val="single" w:sz="8" w:color="D4EFF4"/>
            </w:tcBorders>
            <w:shd w:val="clear" w:color="auto" w:fill="D4EFF4"/>
          </w:tcPr>
          <w:p>
            <w:pPr>
              <w:spacing w:after="0"/>
              <w:rPr>
                <w:sz w:val="19"/>
                <w:szCs w:val="19"/>
                <w:color w:val="auto"/>
              </w:rPr>
            </w:pPr>
          </w:p>
        </w:tc>
        <w:tc>
          <w:tcPr>
            <w:tcW w:w="120" w:type="dxa"/>
            <w:vAlign w:val="bottom"/>
            <w:tcBorders>
              <w:top w:val="single" w:sz="8" w:color="auto"/>
            </w:tcBorders>
            <w:shd w:val="clear" w:color="auto" w:fill="D4EFF4"/>
          </w:tcPr>
          <w:p>
            <w:pPr>
              <w:spacing w:after="0"/>
              <w:rPr>
                <w:sz w:val="19"/>
                <w:szCs w:val="19"/>
                <w:color w:val="auto"/>
              </w:rPr>
            </w:pPr>
          </w:p>
        </w:tc>
        <w:tc>
          <w:tcPr>
            <w:tcW w:w="260" w:type="dxa"/>
            <w:vAlign w:val="bottom"/>
            <w:tcBorders>
              <w:top w:val="single" w:sz="8" w:color="auto"/>
            </w:tcBorders>
            <w:shd w:val="clear" w:color="auto" w:fill="D4EFF4"/>
          </w:tcPr>
          <w:p>
            <w:pPr>
              <w:spacing w:after="0"/>
              <w:rPr>
                <w:sz w:val="19"/>
                <w:szCs w:val="19"/>
                <w:color w:val="auto"/>
              </w:rPr>
            </w:pPr>
          </w:p>
        </w:tc>
        <w:tc>
          <w:tcPr>
            <w:tcW w:w="1000" w:type="dxa"/>
            <w:vAlign w:val="bottom"/>
            <w:tcBorders>
              <w:top w:val="single" w:sz="8" w:color="auto"/>
            </w:tcBorders>
            <w:shd w:val="clear" w:color="auto" w:fill="D4EFF4"/>
          </w:tcPr>
          <w:p>
            <w:pPr>
              <w:spacing w:after="0"/>
              <w:rPr>
                <w:sz w:val="19"/>
                <w:szCs w:val="19"/>
                <w:color w:val="auto"/>
              </w:rPr>
            </w:pPr>
          </w:p>
        </w:tc>
        <w:tc>
          <w:tcPr>
            <w:tcW w:w="60" w:type="dxa"/>
            <w:vAlign w:val="bottom"/>
            <w:tcBorders>
              <w:top w:val="single" w:sz="8" w:color="auto"/>
            </w:tcBorders>
            <w:shd w:val="clear" w:color="auto" w:fill="D4EFF4"/>
          </w:tcPr>
          <w:p>
            <w:pPr>
              <w:spacing w:after="0"/>
              <w:rPr>
                <w:sz w:val="19"/>
                <w:szCs w:val="19"/>
                <w:color w:val="auto"/>
              </w:rPr>
            </w:pPr>
          </w:p>
        </w:tc>
        <w:tc>
          <w:tcPr>
            <w:tcW w:w="120" w:type="dxa"/>
            <w:vAlign w:val="bottom"/>
            <w:tcBorders>
              <w:top w:val="single" w:sz="8" w:color="auto"/>
            </w:tcBorders>
            <w:shd w:val="clear" w:color="auto" w:fill="D4EFF4"/>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6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29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D4EFF4"/>
            </w:tcBorders>
          </w:tcPr>
          <w:p>
            <w:pPr>
              <w:spacing w:after="0"/>
              <w:rPr>
                <w:sz w:val="21"/>
                <w:szCs w:val="21"/>
                <w:color w:val="auto"/>
              </w:rPr>
            </w:pPr>
          </w:p>
        </w:tc>
        <w:tc>
          <w:tcPr>
            <w:tcW w:w="50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739</w:t>
            </w:r>
          </w:p>
        </w:tc>
        <w:tc>
          <w:tcPr>
            <w:tcW w:w="80" w:type="dxa"/>
            <w:vAlign w:val="bottom"/>
            <w:tcBorders>
              <w:bottom w:val="single" w:sz="8" w:color="D4EFF4"/>
            </w:tcBorders>
          </w:tcPr>
          <w:p>
            <w:pPr>
              <w:spacing w:after="0"/>
              <w:rPr>
                <w:sz w:val="21"/>
                <w:szCs w:val="21"/>
                <w:color w:val="auto"/>
              </w:rPr>
            </w:pPr>
          </w:p>
        </w:tc>
        <w:tc>
          <w:tcPr>
            <w:tcW w:w="300" w:type="dxa"/>
            <w:vAlign w:val="bottom"/>
            <w:tcBorders>
              <w:bottom w:val="single" w:sz="8" w:color="D4EFF4"/>
            </w:tcBorders>
            <w:gridSpan w:val="5"/>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4EFF4"/>
            </w:tcBorders>
          </w:tcPr>
          <w:p>
            <w:pPr>
              <w:spacing w:after="0"/>
              <w:rPr>
                <w:sz w:val="21"/>
                <w:szCs w:val="21"/>
                <w:color w:val="auto"/>
              </w:rPr>
            </w:pPr>
          </w:p>
        </w:tc>
        <w:tc>
          <w:tcPr>
            <w:tcW w:w="106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120" w:type="dxa"/>
            <w:vAlign w:val="bottom"/>
            <w:tcBorders>
              <w:bottom w:val="single" w:sz="8" w:color="D4EFF4"/>
            </w:tcBorders>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6990" w:type="dxa"/>
            <w:vAlign w:val="bottom"/>
            <w:shd w:val="clear" w:color="auto" w:fill="D4EFF4"/>
          </w:tcPr>
          <w:p>
            <w:pPr>
              <w:spacing w:after="0" w:line="225" w:lineRule="exact"/>
              <w:rPr>
                <w:sz w:val="20"/>
                <w:szCs w:val="20"/>
                <w:color w:val="auto"/>
              </w:rPr>
            </w:pPr>
            <w:r>
              <w:rPr>
                <w:rFonts w:ascii="Times New Roman" w:cs="Times New Roman" w:eastAsia="Times New Roman" w:hAnsi="Times New Roman"/>
                <w:sz w:val="20"/>
                <w:szCs w:val="20"/>
                <w:color w:val="auto"/>
              </w:rPr>
              <w:t>Short-term lease cost</w:t>
            </w:r>
          </w:p>
        </w:tc>
        <w:tc>
          <w:tcPr>
            <w:tcW w:w="130" w:type="dxa"/>
            <w:vAlign w:val="bottom"/>
            <w:shd w:val="clear" w:color="auto" w:fill="D4EFF4"/>
          </w:tcPr>
          <w:p>
            <w:pPr>
              <w:spacing w:after="0"/>
              <w:rPr>
                <w:sz w:val="19"/>
                <w:szCs w:val="19"/>
                <w:color w:val="auto"/>
              </w:rPr>
            </w:pPr>
          </w:p>
        </w:tc>
        <w:tc>
          <w:tcPr>
            <w:tcW w:w="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840" w:type="dxa"/>
            <w:vAlign w:val="bottom"/>
            <w:shd w:val="clear" w:color="auto" w:fill="D4EFF4"/>
          </w:tcPr>
          <w:p>
            <w:pPr>
              <w:spacing w:after="0"/>
              <w:rPr>
                <w:sz w:val="19"/>
                <w:szCs w:val="19"/>
                <w:color w:val="auto"/>
              </w:rPr>
            </w:pPr>
          </w:p>
        </w:tc>
        <w:tc>
          <w:tcPr>
            <w:tcW w:w="500" w:type="dxa"/>
            <w:vAlign w:val="bottom"/>
            <w:gridSpan w:val="2"/>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260" w:type="dxa"/>
            <w:vAlign w:val="bottom"/>
            <w:shd w:val="clear" w:color="auto" w:fill="D4EFF4"/>
          </w:tcPr>
          <w:p>
            <w:pPr>
              <w:spacing w:after="0"/>
              <w:rPr>
                <w:sz w:val="19"/>
                <w:szCs w:val="19"/>
                <w:color w:val="auto"/>
              </w:rPr>
            </w:pPr>
          </w:p>
        </w:tc>
        <w:tc>
          <w:tcPr>
            <w:tcW w:w="1060" w:type="dxa"/>
            <w:vAlign w:val="bottom"/>
            <w:gridSpan w:val="2"/>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202</w:t>
            </w:r>
          </w:p>
        </w:tc>
        <w:tc>
          <w:tcPr>
            <w:tcW w:w="120" w:type="dxa"/>
            <w:vAlign w:val="bottom"/>
            <w:shd w:val="clear" w:color="auto" w:fill="D4EFF4"/>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6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30" w:type="dxa"/>
            <w:vAlign w:val="bottom"/>
            <w:tcBorders>
              <w:bottom w:val="single" w:sz="8" w:color="D4EFF4"/>
            </w:tcBorders>
          </w:tcPr>
          <w:p>
            <w:pPr>
              <w:spacing w:after="0"/>
              <w:rPr>
                <w:sz w:val="22"/>
                <w:szCs w:val="22"/>
                <w:color w:val="auto"/>
              </w:rPr>
            </w:pPr>
          </w:p>
        </w:tc>
        <w:tc>
          <w:tcPr>
            <w:tcW w:w="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1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15"/>
        </w:trPr>
        <w:tc>
          <w:tcPr>
            <w:tcW w:w="6990" w:type="dxa"/>
            <w:vAlign w:val="bottom"/>
            <w:tcBorders>
              <w:top w:val="single" w:sz="8" w:color="D4EFF4"/>
            </w:tcBorders>
            <w:shd w:val="clear" w:color="auto" w:fill="D4EFF4"/>
          </w:tcPr>
          <w:p>
            <w:pPr>
              <w:spacing w:after="0" w:line="215" w:lineRule="exact"/>
              <w:rPr>
                <w:sz w:val="20"/>
                <w:szCs w:val="20"/>
                <w:color w:val="auto"/>
              </w:rPr>
            </w:pPr>
            <w:r>
              <w:rPr>
                <w:rFonts w:ascii="Times New Roman" w:cs="Times New Roman" w:eastAsia="Times New Roman" w:hAnsi="Times New Roman"/>
                <w:sz w:val="20"/>
                <w:szCs w:val="20"/>
                <w:color w:val="auto"/>
              </w:rPr>
              <w:t>Total lease cost</w:t>
            </w:r>
          </w:p>
        </w:tc>
        <w:tc>
          <w:tcPr>
            <w:tcW w:w="130" w:type="dxa"/>
            <w:vAlign w:val="bottom"/>
            <w:tcBorders>
              <w:top w:val="single" w:sz="8" w:color="D4EFF4"/>
            </w:tcBorders>
            <w:shd w:val="clear" w:color="auto" w:fill="D4EFF4"/>
          </w:tcPr>
          <w:p>
            <w:pPr>
              <w:spacing w:after="0"/>
              <w:rPr>
                <w:sz w:val="18"/>
                <w:szCs w:val="18"/>
                <w:color w:val="auto"/>
              </w:rPr>
            </w:pPr>
          </w:p>
        </w:tc>
        <w:tc>
          <w:tcPr>
            <w:tcW w:w="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00" w:type="dxa"/>
            <w:vAlign w:val="bottom"/>
            <w:tcBorders>
              <w:top w:val="single" w:sz="8" w:color="D4EFF4"/>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40" w:type="dxa"/>
            <w:vAlign w:val="bottom"/>
            <w:tcBorders>
              <w:top w:val="single" w:sz="8" w:color="D4EFF4"/>
              <w:bottom w:val="single" w:sz="8" w:color="auto"/>
            </w:tcBorders>
            <w:shd w:val="clear" w:color="auto" w:fill="D4EFF4"/>
          </w:tcPr>
          <w:p>
            <w:pPr>
              <w:spacing w:after="0"/>
              <w:rPr>
                <w:sz w:val="18"/>
                <w:szCs w:val="18"/>
                <w:color w:val="auto"/>
              </w:rPr>
            </w:pPr>
          </w:p>
        </w:tc>
        <w:tc>
          <w:tcPr>
            <w:tcW w:w="500" w:type="dxa"/>
            <w:vAlign w:val="bottom"/>
            <w:tcBorders>
              <w:top w:val="single" w:sz="8" w:color="D4EFF4"/>
              <w:bottom w:val="single" w:sz="8" w:color="auto"/>
            </w:tcBorders>
            <w:gridSpan w:val="2"/>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739</w:t>
            </w:r>
          </w:p>
        </w:tc>
        <w:tc>
          <w:tcPr>
            <w:tcW w:w="80" w:type="dxa"/>
            <w:vAlign w:val="bottom"/>
            <w:tcBorders>
              <w:top w:val="single" w:sz="8" w:color="D4EFF4"/>
              <w:bottom w:val="single" w:sz="8" w:color="auto"/>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bottom w:val="single" w:sz="8" w:color="auto"/>
            </w:tcBorders>
            <w:shd w:val="clear" w:color="auto" w:fill="D4EFF4"/>
          </w:tcPr>
          <w:p>
            <w:pPr>
              <w:spacing w:after="0"/>
              <w:rPr>
                <w:sz w:val="18"/>
                <w:szCs w:val="18"/>
                <w:color w:val="auto"/>
              </w:rPr>
            </w:pPr>
          </w:p>
        </w:tc>
        <w:tc>
          <w:tcPr>
            <w:tcW w:w="120" w:type="dxa"/>
            <w:vAlign w:val="bottom"/>
            <w:tcBorders>
              <w:top w:val="single" w:sz="8" w:color="D4EFF4"/>
              <w:bottom w:val="single" w:sz="8" w:color="auto"/>
            </w:tcBorders>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260" w:type="dxa"/>
            <w:vAlign w:val="bottom"/>
            <w:tcBorders>
              <w:top w:val="single" w:sz="8" w:color="D4EFF4"/>
              <w:bottom w:val="single" w:sz="8" w:color="auto"/>
            </w:tcBorders>
            <w:shd w:val="clear" w:color="auto" w:fill="D4EFF4"/>
          </w:tcPr>
          <w:p>
            <w:pPr>
              <w:spacing w:after="0"/>
              <w:rPr>
                <w:sz w:val="18"/>
                <w:szCs w:val="18"/>
                <w:color w:val="auto"/>
              </w:rPr>
            </w:pPr>
          </w:p>
        </w:tc>
        <w:tc>
          <w:tcPr>
            <w:tcW w:w="1060" w:type="dxa"/>
            <w:vAlign w:val="bottom"/>
            <w:tcBorders>
              <w:top w:val="single" w:sz="8" w:color="D4EFF4"/>
              <w:bottom w:val="single" w:sz="8" w:color="auto"/>
            </w:tcBorders>
            <w:gridSpan w:val="2"/>
            <w:shd w:val="clear" w:color="auto" w:fill="D4EFF4"/>
          </w:tcPr>
          <w:p>
            <w:pPr>
              <w:jc w:val="right"/>
              <w:spacing w:after="0" w:line="215" w:lineRule="exact"/>
              <w:rPr>
                <w:sz w:val="20"/>
                <w:szCs w:val="20"/>
                <w:color w:val="auto"/>
              </w:rPr>
            </w:pPr>
            <w:r>
              <w:rPr>
                <w:rFonts w:ascii="Times New Roman" w:cs="Times New Roman" w:eastAsia="Times New Roman" w:hAnsi="Times New Roman"/>
                <w:sz w:val="20"/>
                <w:szCs w:val="20"/>
                <w:color w:val="auto"/>
              </w:rPr>
              <w:t>477</w:t>
            </w:r>
          </w:p>
        </w:tc>
        <w:tc>
          <w:tcPr>
            <w:tcW w:w="120" w:type="dxa"/>
            <w:vAlign w:val="bottom"/>
            <w:tcBorders>
              <w:top w:val="single" w:sz="8" w:color="D4EFF4"/>
              <w:bottom w:val="single" w:sz="8" w:color="auto"/>
            </w:tcBorders>
            <w:shd w:val="clear" w:color="auto" w:fill="D4EFF4"/>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9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71"/>
        </w:trPr>
        <w:tc>
          <w:tcPr>
            <w:tcW w:w="8120" w:type="dxa"/>
            <w:vAlign w:val="bottom"/>
            <w:gridSpan w:val="6"/>
          </w:tcPr>
          <w:p>
            <w:pPr>
              <w:spacing w:after="0"/>
              <w:rPr>
                <w:sz w:val="20"/>
                <w:szCs w:val="20"/>
                <w:color w:val="auto"/>
              </w:rPr>
            </w:pPr>
            <w:r>
              <w:rPr>
                <w:rFonts w:ascii="Times New Roman" w:cs="Times New Roman" w:eastAsia="Times New Roman" w:hAnsi="Times New Roman"/>
                <w:sz w:val="20"/>
                <w:szCs w:val="20"/>
                <w:color w:val="auto"/>
              </w:rPr>
              <w:t>Supplemental disclosure of cash flow information related to leases were as follows (in thousands):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1"/>
        </w:trPr>
        <w:tc>
          <w:tcPr>
            <w:tcW w:w="699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9"/>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4"/>
        </w:trPr>
        <w:tc>
          <w:tcPr>
            <w:tcW w:w="6990" w:type="dxa"/>
            <w:vAlign w:val="bottom"/>
          </w:tcPr>
          <w:p>
            <w:pPr>
              <w:spacing w:after="0"/>
              <w:rPr>
                <w:sz w:val="22"/>
                <w:szCs w:val="22"/>
                <w:color w:val="auto"/>
              </w:rPr>
            </w:pPr>
          </w:p>
        </w:tc>
        <w:tc>
          <w:tcPr>
            <w:tcW w:w="113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699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Cash paid for amounts included in the measurement of lease liabilities</w:t>
            </w:r>
          </w:p>
        </w:tc>
        <w:tc>
          <w:tcPr>
            <w:tcW w:w="130" w:type="dxa"/>
            <w:vAlign w:val="bottom"/>
            <w:tcBorders>
              <w:top w:val="single" w:sz="8" w:color="D4EFF4"/>
            </w:tcBorders>
            <w:shd w:val="clear" w:color="auto" w:fill="D4EFF4"/>
          </w:tcPr>
          <w:p>
            <w:pPr>
              <w:spacing w:after="0"/>
              <w:rPr>
                <w:sz w:val="18"/>
                <w:szCs w:val="18"/>
                <w:color w:val="auto"/>
              </w:rPr>
            </w:pPr>
          </w:p>
        </w:tc>
        <w:tc>
          <w:tcPr>
            <w:tcW w:w="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840" w:type="dxa"/>
            <w:vAlign w:val="bottom"/>
            <w:tcBorders>
              <w:top w:val="single" w:sz="8" w:color="auto"/>
            </w:tcBorders>
            <w:shd w:val="clear" w:color="auto" w:fill="D4EFF4"/>
          </w:tcPr>
          <w:p>
            <w:pPr>
              <w:spacing w:after="0"/>
              <w:rPr>
                <w:sz w:val="18"/>
                <w:szCs w:val="18"/>
                <w:color w:val="auto"/>
              </w:rPr>
            </w:pPr>
          </w:p>
        </w:tc>
        <w:tc>
          <w:tcPr>
            <w:tcW w:w="500" w:type="dxa"/>
            <w:vAlign w:val="bottom"/>
            <w:tcBorders>
              <w:top w:val="single" w:sz="8" w:color="auto"/>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742</w:t>
            </w:r>
          </w:p>
        </w:tc>
        <w:tc>
          <w:tcPr>
            <w:tcW w:w="80" w:type="dxa"/>
            <w:vAlign w:val="bottom"/>
            <w:tcBorders>
              <w:top w:val="single" w:sz="8" w:color="auto"/>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260" w:type="dxa"/>
            <w:vAlign w:val="bottom"/>
            <w:tcBorders>
              <w:top w:val="single" w:sz="8" w:color="auto"/>
            </w:tcBorders>
            <w:shd w:val="clear" w:color="auto" w:fill="D4EFF4"/>
          </w:tcPr>
          <w:p>
            <w:pPr>
              <w:spacing w:after="0"/>
              <w:rPr>
                <w:sz w:val="18"/>
                <w:szCs w:val="18"/>
                <w:color w:val="auto"/>
              </w:rPr>
            </w:pPr>
          </w:p>
        </w:tc>
        <w:tc>
          <w:tcPr>
            <w:tcW w:w="1060" w:type="dxa"/>
            <w:vAlign w:val="bottom"/>
            <w:tcBorders>
              <w:top w:val="single" w:sz="8" w:color="auto"/>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207</w:t>
            </w:r>
          </w:p>
        </w:tc>
        <w:tc>
          <w:tcPr>
            <w:tcW w:w="120" w:type="dxa"/>
            <w:vAlign w:val="bottom"/>
            <w:tcBorders>
              <w:top w:val="single" w:sz="8" w:color="auto"/>
            </w:tcBorders>
            <w:shd w:val="clear" w:color="auto" w:fill="D4EFF4"/>
          </w:tcPr>
          <w:p>
            <w:pPr>
              <w:spacing w:after="0"/>
              <w:rPr>
                <w:sz w:val="18"/>
                <w:szCs w:val="18"/>
                <w:color w:val="auto"/>
              </w:rPr>
            </w:pPr>
          </w:p>
        </w:tc>
        <w:tc>
          <w:tcPr>
            <w:tcW w:w="20" w:type="dxa"/>
            <w:vAlign w:val="bottom"/>
          </w:tcPr>
          <w:p>
            <w:pPr>
              <w:spacing w:after="0"/>
              <w:rPr>
                <w:sz w:val="18"/>
                <w:szCs w:val="18"/>
                <w:color w:val="auto"/>
              </w:rPr>
            </w:pPr>
          </w:p>
        </w:tc>
      </w:tr>
      <w:tr>
        <w:trPr>
          <w:trHeight w:val="487"/>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The weighted-average discount rate and remaining lease term were as follows:</w:t>
            </w:r>
          </w:p>
        </w:tc>
        <w:tc>
          <w:tcPr>
            <w:tcW w:w="1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1"/>
        </w:trPr>
        <w:tc>
          <w:tcPr>
            <w:tcW w:w="699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4"/>
        </w:trPr>
        <w:tc>
          <w:tcPr>
            <w:tcW w:w="6990" w:type="dxa"/>
            <w:vAlign w:val="bottom"/>
          </w:tcPr>
          <w:p>
            <w:pPr>
              <w:spacing w:after="0"/>
              <w:rPr>
                <w:sz w:val="22"/>
                <w:szCs w:val="22"/>
                <w:color w:val="auto"/>
              </w:rPr>
            </w:pPr>
          </w:p>
        </w:tc>
        <w:tc>
          <w:tcPr>
            <w:tcW w:w="113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6990" w:type="dxa"/>
            <w:vAlign w:val="bottom"/>
            <w:tcBorders>
              <w:top w:val="single" w:sz="8" w:color="D4EFF4"/>
            </w:tcBorders>
            <w:shd w:val="clear" w:color="auto" w:fill="D4EFF4"/>
          </w:tcPr>
          <w:p>
            <w:pPr>
              <w:spacing w:after="0" w:line="213" w:lineRule="exact"/>
              <w:rPr>
                <w:sz w:val="20"/>
                <w:szCs w:val="20"/>
                <w:color w:val="auto"/>
              </w:rPr>
            </w:pPr>
            <w:r>
              <w:rPr>
                <w:rFonts w:ascii="Times New Roman" w:cs="Times New Roman" w:eastAsia="Times New Roman" w:hAnsi="Times New Roman"/>
                <w:sz w:val="20"/>
                <w:szCs w:val="20"/>
                <w:color w:val="auto"/>
              </w:rPr>
              <w:t>Weighted-average discount rate — operating leases</w:t>
            </w:r>
          </w:p>
        </w:tc>
        <w:tc>
          <w:tcPr>
            <w:tcW w:w="130" w:type="dxa"/>
            <w:vAlign w:val="bottom"/>
            <w:tcBorders>
              <w:top w:val="single" w:sz="8" w:color="D4EFF4"/>
            </w:tcBorders>
            <w:shd w:val="clear" w:color="auto" w:fill="D4EFF4"/>
          </w:tcPr>
          <w:p>
            <w:pPr>
              <w:spacing w:after="0"/>
              <w:rPr>
                <w:sz w:val="18"/>
                <w:szCs w:val="18"/>
                <w:color w:val="auto"/>
              </w:rPr>
            </w:pPr>
          </w:p>
        </w:tc>
        <w:tc>
          <w:tcPr>
            <w:tcW w:w="40" w:type="dxa"/>
            <w:vAlign w:val="bottom"/>
            <w:tcBorders>
              <w:top w:val="single" w:sz="8" w:color="auto"/>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100" w:type="dxa"/>
            <w:vAlign w:val="bottom"/>
            <w:tcBorders>
              <w:top w:val="single" w:sz="8" w:color="auto"/>
            </w:tcBorders>
            <w:shd w:val="clear" w:color="auto" w:fill="D4EFF4"/>
          </w:tcPr>
          <w:p>
            <w:pPr>
              <w:spacing w:after="0"/>
              <w:rPr>
                <w:sz w:val="18"/>
                <w:szCs w:val="18"/>
                <w:color w:val="auto"/>
              </w:rPr>
            </w:pPr>
          </w:p>
        </w:tc>
        <w:tc>
          <w:tcPr>
            <w:tcW w:w="840" w:type="dxa"/>
            <w:vAlign w:val="bottom"/>
            <w:tcBorders>
              <w:top w:val="single" w:sz="8" w:color="auto"/>
            </w:tcBorders>
            <w:shd w:val="clear" w:color="auto" w:fill="D4EFF4"/>
          </w:tcPr>
          <w:p>
            <w:pPr>
              <w:spacing w:after="0"/>
              <w:rPr>
                <w:sz w:val="18"/>
                <w:szCs w:val="18"/>
                <w:color w:val="auto"/>
              </w:rPr>
            </w:pPr>
          </w:p>
        </w:tc>
        <w:tc>
          <w:tcPr>
            <w:tcW w:w="42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11.7</w:t>
            </w:r>
          </w:p>
        </w:tc>
        <w:tc>
          <w:tcPr>
            <w:tcW w:w="160" w:type="dxa"/>
            <w:vAlign w:val="bottom"/>
            <w:tcBorders>
              <w:top w:val="single" w:sz="8" w:color="auto"/>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20" w:type="dxa"/>
            <w:vAlign w:val="bottom"/>
            <w:tcBorders>
              <w:top w:val="single" w:sz="8" w:color="auto"/>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20" w:type="dxa"/>
            <w:vAlign w:val="bottom"/>
            <w:tcBorders>
              <w:top w:val="single" w:sz="8" w:color="auto"/>
            </w:tcBorders>
            <w:shd w:val="clear" w:color="auto" w:fill="D4EFF4"/>
          </w:tcPr>
          <w:p>
            <w:pPr>
              <w:spacing w:after="0"/>
              <w:rPr>
                <w:sz w:val="18"/>
                <w:szCs w:val="18"/>
                <w:color w:val="auto"/>
              </w:rPr>
            </w:pPr>
          </w:p>
        </w:tc>
        <w:tc>
          <w:tcPr>
            <w:tcW w:w="120" w:type="dxa"/>
            <w:vAlign w:val="bottom"/>
            <w:tcBorders>
              <w:top w:val="single" w:sz="8" w:color="auto"/>
            </w:tcBorders>
            <w:shd w:val="clear" w:color="auto" w:fill="D4EFF4"/>
          </w:tcPr>
          <w:p>
            <w:pPr>
              <w:spacing w:after="0"/>
              <w:rPr>
                <w:sz w:val="18"/>
                <w:szCs w:val="18"/>
                <w:color w:val="auto"/>
              </w:rPr>
            </w:pPr>
          </w:p>
        </w:tc>
        <w:tc>
          <w:tcPr>
            <w:tcW w:w="260" w:type="dxa"/>
            <w:vAlign w:val="bottom"/>
            <w:tcBorders>
              <w:top w:val="single" w:sz="8" w:color="auto"/>
            </w:tcBorders>
            <w:shd w:val="clear" w:color="auto" w:fill="D4EFF4"/>
          </w:tcPr>
          <w:p>
            <w:pPr>
              <w:spacing w:after="0"/>
              <w:rPr>
                <w:sz w:val="18"/>
                <w:szCs w:val="18"/>
                <w:color w:val="auto"/>
              </w:rPr>
            </w:pPr>
          </w:p>
        </w:tc>
        <w:tc>
          <w:tcPr>
            <w:tcW w:w="1000" w:type="dxa"/>
            <w:vAlign w:val="bottom"/>
            <w:tcBorders>
              <w:top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11.7</w:t>
            </w:r>
          </w:p>
        </w:tc>
        <w:tc>
          <w:tcPr>
            <w:tcW w:w="180" w:type="dxa"/>
            <w:vAlign w:val="bottom"/>
            <w:tcBorders>
              <w:top w:val="single" w:sz="8" w:color="auto"/>
            </w:tcBorders>
            <w:gridSpan w:val="2"/>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20" w:type="dxa"/>
            <w:vAlign w:val="bottom"/>
            <w:tcBorders>
              <w:top w:val="single" w:sz="8" w:color="auto"/>
            </w:tcBorders>
            <w:shd w:val="clear" w:color="auto" w:fill="D4EFF4"/>
          </w:tcPr>
          <w:p>
            <w:pPr>
              <w:spacing w:after="0"/>
              <w:rPr>
                <w:sz w:val="18"/>
                <w:szCs w:val="18"/>
                <w:color w:val="auto"/>
              </w:rPr>
            </w:pPr>
          </w:p>
        </w:tc>
      </w:tr>
      <w:tr>
        <w:trPr>
          <w:trHeight w:val="267"/>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 — operating leases</w:t>
            </w:r>
          </w:p>
        </w:tc>
        <w:tc>
          <w:tcPr>
            <w:tcW w:w="13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65"/>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The maturities of operating lease liabilities were as follows (in thousands):</w:t>
            </w:r>
          </w:p>
        </w:tc>
        <w:tc>
          <w:tcPr>
            <w:tcW w:w="13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67"/>
        </w:trPr>
        <w:tc>
          <w:tcPr>
            <w:tcW w:w="699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3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24"/>
                <w:szCs w:val="24"/>
                <w:color w:val="auto"/>
              </w:rPr>
            </w:pPr>
          </w:p>
        </w:tc>
      </w:tr>
      <w:tr>
        <w:trPr>
          <w:trHeight w:val="233"/>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3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699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2027</w:t>
            </w:r>
          </w:p>
        </w:tc>
        <w:tc>
          <w:tcPr>
            <w:tcW w:w="130" w:type="dxa"/>
            <w:vAlign w:val="bottom"/>
            <w:shd w:val="clear" w:color="auto" w:fill="D4EFF4"/>
          </w:tcPr>
          <w:p>
            <w:pPr>
              <w:spacing w:after="0"/>
              <w:rPr>
                <w:sz w:val="21"/>
                <w:szCs w:val="21"/>
                <w:color w:val="auto"/>
              </w:rPr>
            </w:pPr>
          </w:p>
        </w:tc>
        <w:tc>
          <w:tcPr>
            <w:tcW w:w="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840" w:type="dxa"/>
            <w:vAlign w:val="bottom"/>
            <w:shd w:val="clear" w:color="auto" w:fill="D4EFF4"/>
          </w:tcPr>
          <w:p>
            <w:pPr>
              <w:spacing w:after="0"/>
              <w:rPr>
                <w:sz w:val="21"/>
                <w:szCs w:val="21"/>
                <w:color w:val="auto"/>
              </w:rPr>
            </w:pPr>
          </w:p>
        </w:tc>
        <w:tc>
          <w:tcPr>
            <w:tcW w:w="4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260" w:type="dxa"/>
            <w:vAlign w:val="bottom"/>
            <w:tcBorders>
              <w:bottom w:val="single" w:sz="8" w:color="auto"/>
            </w:tcBorders>
            <w:shd w:val="clear" w:color="auto" w:fill="D4EFF4"/>
          </w:tcPr>
          <w:p>
            <w:pPr>
              <w:spacing w:after="0"/>
              <w:rPr>
                <w:sz w:val="21"/>
                <w:szCs w:val="21"/>
                <w:color w:val="auto"/>
              </w:rPr>
            </w:pPr>
          </w:p>
        </w:tc>
        <w:tc>
          <w:tcPr>
            <w:tcW w:w="106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644</w:t>
            </w:r>
          </w:p>
        </w:tc>
        <w:tc>
          <w:tcPr>
            <w:tcW w:w="120" w:type="dxa"/>
            <w:vAlign w:val="bottom"/>
            <w:tcBorders>
              <w:bottom w:val="single" w:sz="8" w:color="auto"/>
            </w:tcBorders>
            <w:shd w:val="clear" w:color="auto" w:fill="D4EF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Total lease payments</w:t>
            </w:r>
          </w:p>
        </w:tc>
        <w:tc>
          <w:tcPr>
            <w:tcW w:w="13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1,403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4"/>
        </w:trPr>
        <w:tc>
          <w:tcPr>
            <w:tcW w:w="699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130" w:type="dxa"/>
            <w:vAlign w:val="bottom"/>
            <w:shd w:val="clear" w:color="auto" w:fill="D4EFF4"/>
          </w:tcPr>
          <w:p>
            <w:pPr>
              <w:spacing w:after="0"/>
              <w:rPr>
                <w:sz w:val="21"/>
                <w:szCs w:val="21"/>
                <w:color w:val="auto"/>
              </w:rPr>
            </w:pPr>
          </w:p>
        </w:tc>
        <w:tc>
          <w:tcPr>
            <w:tcW w:w="4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840" w:type="dxa"/>
            <w:vAlign w:val="bottom"/>
            <w:shd w:val="clear" w:color="auto" w:fill="D4EFF4"/>
          </w:tcPr>
          <w:p>
            <w:pPr>
              <w:spacing w:after="0"/>
              <w:rPr>
                <w:sz w:val="21"/>
                <w:szCs w:val="21"/>
                <w:color w:val="auto"/>
              </w:rPr>
            </w:pPr>
          </w:p>
        </w:tc>
        <w:tc>
          <w:tcPr>
            <w:tcW w:w="4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260" w:type="dxa"/>
            <w:vAlign w:val="bottom"/>
            <w:tcBorders>
              <w:bottom w:val="single" w:sz="8" w:color="auto"/>
            </w:tcBorders>
            <w:shd w:val="clear" w:color="auto" w:fill="D4EFF4"/>
          </w:tcPr>
          <w:p>
            <w:pPr>
              <w:spacing w:after="0"/>
              <w:rPr>
                <w:sz w:val="21"/>
                <w:szCs w:val="21"/>
                <w:color w:val="auto"/>
              </w:rPr>
            </w:pPr>
          </w:p>
        </w:tc>
        <w:tc>
          <w:tcPr>
            <w:tcW w:w="106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(134</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tcPr>
          <w:p>
            <w:pPr>
              <w:spacing w:after="0"/>
              <w:rPr>
                <w:sz w:val="21"/>
                <w:szCs w:val="21"/>
                <w:color w:val="auto"/>
              </w:rPr>
            </w:pPr>
          </w:p>
        </w:tc>
      </w:tr>
      <w:tr>
        <w:trPr>
          <w:trHeight w:val="234"/>
        </w:trPr>
        <w:tc>
          <w:tcPr>
            <w:tcW w:w="6990" w:type="dxa"/>
            <w:vAlign w:val="bottom"/>
          </w:tcPr>
          <w:p>
            <w:pPr>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3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4"/>
        </w:trPr>
        <w:tc>
          <w:tcPr>
            <w:tcW w:w="699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Less: operating lease liabilities, current portion</w:t>
            </w:r>
          </w:p>
        </w:tc>
        <w:tc>
          <w:tcPr>
            <w:tcW w:w="130" w:type="dxa"/>
            <w:vAlign w:val="bottom"/>
            <w:tcBorders>
              <w:bottom w:val="single" w:sz="8" w:color="D4EFF4"/>
            </w:tcBorders>
            <w:shd w:val="clear" w:color="auto" w:fill="D4EFF4"/>
          </w:tcPr>
          <w:p>
            <w:pPr>
              <w:spacing w:after="0"/>
              <w:rPr>
                <w:sz w:val="22"/>
                <w:szCs w:val="22"/>
                <w:color w:val="auto"/>
              </w:rPr>
            </w:pPr>
          </w:p>
        </w:tc>
        <w:tc>
          <w:tcPr>
            <w:tcW w:w="4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00" w:type="dxa"/>
            <w:vAlign w:val="bottom"/>
            <w:tcBorders>
              <w:bottom w:val="single" w:sz="8" w:color="D4EFF4"/>
            </w:tcBorders>
            <w:shd w:val="clear" w:color="auto" w:fill="D4EFF4"/>
          </w:tcPr>
          <w:p>
            <w:pPr>
              <w:spacing w:after="0"/>
              <w:rPr>
                <w:sz w:val="22"/>
                <w:szCs w:val="22"/>
                <w:color w:val="auto"/>
              </w:rPr>
            </w:pPr>
          </w:p>
        </w:tc>
        <w:tc>
          <w:tcPr>
            <w:tcW w:w="840" w:type="dxa"/>
            <w:vAlign w:val="bottom"/>
            <w:tcBorders>
              <w:bottom w:val="single" w:sz="8" w:color="D4EFF4"/>
            </w:tcBorders>
            <w:shd w:val="clear" w:color="auto" w:fill="D4EFF4"/>
          </w:tcPr>
          <w:p>
            <w:pPr>
              <w:spacing w:after="0"/>
              <w:rPr>
                <w:sz w:val="22"/>
                <w:szCs w:val="22"/>
                <w:color w:val="auto"/>
              </w:rPr>
            </w:pPr>
          </w:p>
        </w:tc>
        <w:tc>
          <w:tcPr>
            <w:tcW w:w="420" w:type="dxa"/>
            <w:vAlign w:val="bottom"/>
            <w:tcBorders>
              <w:bottom w:val="single" w:sz="8" w:color="D4EFF4"/>
            </w:tcBorders>
            <w:shd w:val="clear" w:color="auto" w:fill="D4EFF4"/>
          </w:tcPr>
          <w:p>
            <w:pPr>
              <w:spacing w:after="0"/>
              <w:rPr>
                <w:sz w:val="22"/>
                <w:szCs w:val="22"/>
                <w:color w:val="auto"/>
              </w:rPr>
            </w:pPr>
          </w:p>
        </w:tc>
        <w:tc>
          <w:tcPr>
            <w:tcW w:w="80" w:type="dxa"/>
            <w:vAlign w:val="bottom"/>
            <w:tcBorders>
              <w:bottom w:val="single" w:sz="8" w:color="D4EFF4"/>
            </w:tcBorders>
            <w:shd w:val="clear" w:color="auto" w:fill="D4EFF4"/>
          </w:tcPr>
          <w:p>
            <w:pPr>
              <w:spacing w:after="0"/>
              <w:rPr>
                <w:sz w:val="22"/>
                <w:szCs w:val="22"/>
                <w:color w:val="auto"/>
              </w:rPr>
            </w:pPr>
          </w:p>
        </w:tc>
        <w:tc>
          <w:tcPr>
            <w:tcW w:w="8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20" w:type="dxa"/>
            <w:vAlign w:val="bottom"/>
            <w:tcBorders>
              <w:bottom w:val="single" w:sz="8" w:color="D4EFF4"/>
            </w:tcBorders>
            <w:shd w:val="clear" w:color="auto" w:fill="D4EFF4"/>
          </w:tcPr>
          <w:p>
            <w:pPr>
              <w:spacing w:after="0"/>
              <w:rPr>
                <w:sz w:val="22"/>
                <w:szCs w:val="22"/>
                <w:color w:val="auto"/>
              </w:rPr>
            </w:pPr>
          </w:p>
        </w:tc>
        <w:tc>
          <w:tcPr>
            <w:tcW w:w="120" w:type="dxa"/>
            <w:vAlign w:val="bottom"/>
            <w:tcBorders>
              <w:bottom w:val="single" w:sz="8" w:color="auto"/>
            </w:tcBorders>
            <w:shd w:val="clear" w:color="auto" w:fill="D4EFF4"/>
          </w:tcPr>
          <w:p>
            <w:pPr>
              <w:spacing w:after="0"/>
              <w:rPr>
                <w:sz w:val="22"/>
                <w:szCs w:val="22"/>
                <w:color w:val="auto"/>
              </w:rPr>
            </w:pPr>
          </w:p>
        </w:tc>
        <w:tc>
          <w:tcPr>
            <w:tcW w:w="260" w:type="dxa"/>
            <w:vAlign w:val="bottom"/>
            <w:tcBorders>
              <w:bottom w:val="single" w:sz="8" w:color="auto"/>
            </w:tcBorders>
            <w:shd w:val="clear" w:color="auto" w:fill="D4EFF4"/>
          </w:tcPr>
          <w:p>
            <w:pPr>
              <w:spacing w:after="0"/>
              <w:rPr>
                <w:sz w:val="22"/>
                <w:szCs w:val="22"/>
                <w:color w:val="auto"/>
              </w:rPr>
            </w:pPr>
          </w:p>
        </w:tc>
        <w:tc>
          <w:tcPr>
            <w:tcW w:w="1060" w:type="dxa"/>
            <w:vAlign w:val="bottom"/>
            <w:tcBorders>
              <w:bottom w:val="single" w:sz="8" w:color="auto"/>
            </w:tcBorders>
            <w:gridSpan w:val="2"/>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(720</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tcPr>
          <w:p>
            <w:pPr>
              <w:spacing w:after="0"/>
              <w:rPr>
                <w:sz w:val="22"/>
                <w:szCs w:val="22"/>
                <w:color w:val="auto"/>
              </w:rPr>
            </w:pPr>
          </w:p>
        </w:tc>
      </w:tr>
      <w:tr>
        <w:trPr>
          <w:trHeight w:val="217"/>
        </w:trPr>
        <w:tc>
          <w:tcPr>
            <w:tcW w:w="699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Operating lease liabilities, net of current portion</w:t>
            </w:r>
          </w:p>
        </w:tc>
        <w:tc>
          <w:tcPr>
            <w:tcW w:w="13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4"/>
          </w:tcPr>
          <w:p>
            <w:pPr>
              <w:spacing w:after="0"/>
              <w:rPr>
                <w:sz w:val="18"/>
                <w:szCs w:val="18"/>
                <w:color w:val="auto"/>
              </w:rPr>
            </w:pPr>
          </w:p>
        </w:tc>
        <w:tc>
          <w:tcPr>
            <w:tcW w:w="12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79"/>
              </w:rPr>
              <w:t>$</w:t>
            </w:r>
          </w:p>
        </w:tc>
        <w:tc>
          <w:tcPr>
            <w:tcW w:w="260" w:type="dxa"/>
            <w:vAlign w:val="bottom"/>
          </w:tcPr>
          <w:p>
            <w:pPr>
              <w:spacing w:after="0"/>
              <w:rPr>
                <w:sz w:val="18"/>
                <w:szCs w:val="18"/>
                <w:color w:val="auto"/>
              </w:rPr>
            </w:pPr>
          </w:p>
        </w:tc>
        <w:tc>
          <w:tcPr>
            <w:tcW w:w="106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0"/>
                <w:szCs w:val="20"/>
                <w:color w:val="auto"/>
              </w:rPr>
              <w:t>549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6990" w:type="dxa"/>
            <w:vAlign w:val="bottom"/>
          </w:tcPr>
          <w:p>
            <w:pPr>
              <w:spacing w:after="0" w:line="20" w:lineRule="exact"/>
              <w:rPr>
                <w:sz w:val="1"/>
                <w:szCs w:val="1"/>
                <w:color w:val="auto"/>
              </w:rPr>
            </w:pPr>
          </w:p>
        </w:tc>
        <w:tc>
          <w:tcPr>
            <w:tcW w:w="13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-499110</wp:posOffset>
                </wp:positionV>
                <wp:extent cx="5633085" cy="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3308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9.2999pt" to="443.9pt,-39.2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5637530</wp:posOffset>
                </wp:positionH>
                <wp:positionV relativeFrom="paragraph">
                  <wp:posOffset>-495935</wp:posOffset>
                </wp:positionV>
                <wp:extent cx="98679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867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9pt,-39.0499pt" to="521.6pt,-39.0499pt" o:allowincell="f" strokecolor="#FFFFFF" strokeweight="0.72pt"/>
            </w:pict>
          </mc:Fallback>
        </mc:AlternateConten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10440"/>
          </w:cols>
          <w:pgMar w:left="900" w:top="696" w:right="900" w:bottom="187" w:gutter="0" w:footer="0" w:header="0"/>
          <w:type w:val="continuous"/>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Redeemable convertible preferred stock</w:t>
      </w:r>
    </w:p>
    <w:p>
      <w:pPr>
        <w:spacing w:after="0" w:line="123"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20"/>
          <w:szCs w:val="20"/>
          <w:color w:val="auto"/>
        </w:rPr>
        <w:t>The Company has issued Series A Preferred Stock (“Series A Preferred Stock”) and Series B Preferred Stock, which are collectively referred to as the Preferred Stock.</w:t>
      </w:r>
    </w:p>
    <w:p>
      <w:pPr>
        <w:spacing w:after="0" w:line="16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Immediately prior to the closing of the Company’s IPO on October 15, 2024, pursuant to the stock split and a proportional adjustment to the existing conversion ratios of each series of the Company’s Preferred Stock as discussed further below, all of the Company’s outstanding shares of convertible preferred stock were converted into an aggregate of 33,321,149 shares of common stock.</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Issuance and sale of Series B redeemable convertible preferred stock</w:t>
      </w:r>
    </w:p>
    <w:p>
      <w:pPr>
        <w:spacing w:after="0" w:line="12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In June 2023, the Company executed the Series B Stock Preferred Purchase Agreement (the “Series B Agreement”) to issue and sell up to 11,764,693 shares of Series B Preferred Stock at a price of $17.00 per share. In the initial closing in June 2023, the Company issued 2,941,170 shares of Series B Preferred Stock resulting in gross cash proceeds of $50.0 million and incurred $0.6 million of issuance costs, of which $0.1 million was allocated to the preferred stock tranche right liability and recognized in the consolidated statement of operations and comprehensive loss as general and administrative expense. Pursuant to the Series B Agreement, the Company has the right (“Series B Option”) to issue and sell an additional 8,823,523 shares of Series B Preferred Stock (“Series B Option Shares”) at the same price of $17.00 per share after the initial closing but prior to March 31, 2024 upon approval of at least six (6) board of directors of which at least one (1) has to be appointed by the holders of Series B Preferred Stock. If the Company does not exercise the Series B Option prior or at a date which would occur at the earlier of (i) March 31, 2024 or (ii) the closing of an acquisition agreement signed prior to March 31, 2024, the holders of Series B Preferred Stock will have the right but not obligation to require the Company to issue and sell the Series B Option Shares at the same purchase price of $17.00 per share (the “Series B preferred stock tranche right”). Upon the initial closing of the Series B Preferred Stock, the Company recorded a preferred stock tranche right liability of $11.8 million and a corresponding reduction to the carrying value of the Series B Preferred Stock. The fair value of the Series B preferred stock tranche right was allocated from the gross cash proceeds of $50.0 million of the Series B Preferred Stock issuance, and the residual value was then allocated to the Series B Preferred Stock.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April 2024, pursuant to the satisfaction of the Series B Option contemplated in the Series B Agreement, the Company issued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sold 8,823,523 shares of Series B Preferred Stock at a price of $17.00 per share, which resulted in gross cash proceeds of</w:t>
      </w:r>
    </w:p>
    <w:p>
      <w:pPr>
        <w:spacing w:after="0"/>
        <w:rPr>
          <w:sz w:val="20"/>
          <w:szCs w:val="20"/>
          <w:color w:val="auto"/>
        </w:rPr>
      </w:pPr>
      <w:r>
        <w:rPr>
          <w:rFonts w:ascii="Times New Roman" w:cs="Times New Roman" w:eastAsia="Times New Roman" w:hAnsi="Times New Roman"/>
          <w:sz w:val="20"/>
          <w:szCs w:val="20"/>
          <w:color w:val="auto"/>
        </w:rPr>
        <w:t>$150.0 million. As a result of this issuance, the Series B preferred stock tranche right liability of less than $0.1 million was settled</w:t>
      </w:r>
    </w:p>
    <w:p>
      <w:pPr>
        <w:spacing w:after="0"/>
        <w:rPr>
          <w:sz w:val="20"/>
          <w:szCs w:val="20"/>
          <w:color w:val="auto"/>
        </w:rPr>
      </w:pPr>
      <w:r>
        <w:rPr>
          <w:rFonts w:ascii="Times New Roman" w:cs="Times New Roman" w:eastAsia="Times New Roman" w:hAnsi="Times New Roman"/>
          <w:sz w:val="20"/>
          <w:szCs w:val="20"/>
          <w:color w:val="auto"/>
        </w:rPr>
        <w:t>and the Series B Preferred Stock was recorded at its fair value of $150.0 million. The Company incurred less than $0.1 million of</w:t>
      </w:r>
    </w:p>
    <w:p>
      <w:pPr>
        <w:spacing w:after="0"/>
        <w:rPr>
          <w:sz w:val="20"/>
          <w:szCs w:val="20"/>
          <w:color w:val="auto"/>
        </w:rPr>
      </w:pPr>
      <w:r>
        <w:rPr>
          <w:rFonts w:ascii="Times New Roman" w:cs="Times New Roman" w:eastAsia="Times New Roman" w:hAnsi="Times New Roman"/>
          <w:sz w:val="20"/>
          <w:szCs w:val="20"/>
          <w:color w:val="auto"/>
        </w:rPr>
        <w:t>issuance costs in connection with the Series B Option closing.</w:t>
      </w:r>
    </w:p>
    <w:p>
      <w:pPr>
        <w:spacing w:after="0" w:line="21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color w:val="auto"/>
        </w:rPr>
        <w:t>Upon issuance of the Preferred Stock, the Company assessed the embedded conversion and liquidation features of the securities and determined that such features did not require the Company to separately account for these features.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there were no shares of redeemable convertible preferred stock issued or outstanding.</w:t>
      </w:r>
    </w:p>
    <w:p>
      <w:pPr>
        <w:spacing w:after="0" w:line="11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The Company’s third amended and restated certificate of incorporation authorized the issuance of preferred stock with a par value of $0.001 per share. The number of shares of preferred stock authorized to be issued is 10,000,000 shares as of December 31, 2025. The shares of preferred stock are currently undesignated and no shares are issued or outstanding</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Common stock</w:t>
      </w:r>
    </w:p>
    <w:p>
      <w:pPr>
        <w:spacing w:after="0" w:line="124"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0"/>
          <w:szCs w:val="20"/>
          <w:color w:val="auto"/>
        </w:rPr>
        <w:t>Each share of common stock entitles the holder to one vote on all matters submitted to a vote of the Company’s stockholders. Common stockholders are entitled to receive dividends, as may be declared by the board of directors, if any, subject to the preferential dividend rights of the Preferred Stock.</w:t>
      </w:r>
    </w:p>
    <w:p>
      <w:pPr>
        <w:spacing w:after="0" w:line="188"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0"/>
          <w:szCs w:val="20"/>
          <w:color w:val="auto"/>
        </w:rPr>
        <w:t>As of December 31, 2025 and 2024, the Company’s third amended and restated certificate of incorporation authorized the issuance of 500,000,000 shares of common stock, par value $0.001 per share. As of December 31, 2025 and 2024, there were 54,237,750 shares and 53,603,398 shares of common stock issued and outstanding, respectively.</w:t>
      </w:r>
    </w:p>
    <w:p>
      <w:pPr>
        <w:sectPr>
          <w:pgSz w:w="12240" w:h="15840" w:orient="portrait"/>
          <w:cols w:equalWidth="0" w:num="1">
            <w:col w:w="10420"/>
          </w:cols>
          <w:pgMar w:left="900" w:top="696" w:right="92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10420"/>
          </w:cols>
          <w:pgMar w:left="900" w:top="696" w:right="920" w:bottom="187"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Stock-based compensation</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2021 Stock incentive plan</w:t>
      </w:r>
    </w:p>
    <w:p>
      <w:pPr>
        <w:spacing w:after="0" w:line="12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The Company’s 2021 Stock Option and Grant Plan (the “2021 Plan”) provided for the Company to grant incentive stock options, non-qualified stock options, restricted stock awards, unrestricted stock awards and restricted stock units (collectively, the “Awards”) to among others, members of the board of directors, employees, consultants and other key persons to the Company and its affiliates. The 2021 Plan is administered by the board of directors, or at the discretion of the board of directors, by a committee of the board.</w:t>
      </w:r>
    </w:p>
    <w:p>
      <w:pPr>
        <w:spacing w:after="0" w:line="19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In October 2024, the Company completed its IPO, and in connection with the closing, the board of directors determined that no further awards would be granted under the 2021 Plan and any remaining options available for grant would cease to be available. Awards outstanding under the 2021 Plan will continue to be governed by their existing terms. Shares of unused common stock underlying any awards that are forfeited, canceled or reacquired by the Company prior to vesting will again be available for the grant of awards under the 2024 Plan.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Stock option and incentive plan</w:t>
      </w:r>
    </w:p>
    <w:p>
      <w:pPr>
        <w:spacing w:after="0" w:line="12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On August 19, 2024, the Company’s board of directors adopted, and on October 4, 2024 its stockholders approved, the 2024 Stock Option and Incentive Plan (the “2024 Plan”), which became effective upon the date immediately preceding the date on which the IPO registration statement was declared effective by the SEC. The 2024 Plan allows the Company to make equity-based and cash-based incentive awards to its officers, employees, directors, and consultants. The 2024 Plan provides for the grant of incentive stock options, non-qualified stock options, stock appreciation rights, restricted stock units, restricted shares of common stock and other stock-based awards. The number of shares reserved under the 2024 Plan is subject to adjustment in the event of a stock split, stock dividend or other change in the Company’s capitalization. In addition, the number of shares reserved and available for issuance under the 2024 Plan will automatically increase on January 1, 2025 and each January 1 thereafter, by five percent of the outstanding number of shares of its common stock on the immediately preceding December 31 or such lesser number of shares as determined by the Company’s compensation committee. On January 1, 2026, the number of shares of common stock that may be issued under the 2024 Plan increased by 2,711,887 shares of common stock.</w:t>
      </w:r>
    </w:p>
    <w:p>
      <w:pPr>
        <w:spacing w:after="0" w:line="20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The shares of common stock underlying any awards under the 2024 Plan and the 2021 Plan that are forfeited, cancelled, held back upon exercise or settlement of an award to satisfy the exercise price or tax withholding, reacquired by the Company prior to vesting, satisfied without the issuance of stock, expire or are otherwise terminated (other than by exercise) will be added back to the shares of common stock available for issuance under the 2024 Plan.</w:t>
      </w:r>
    </w:p>
    <w:p>
      <w:pPr>
        <w:spacing w:after="0" w:line="194"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20"/>
          <w:szCs w:val="20"/>
          <w:color w:val="auto"/>
        </w:rPr>
        <w:t>As of December 31, 2025, the Company had a total of 11,483,191 shares of common stock reserved under the 2024 Plan and the 2021 Plan, and 3,522,463 shares available for future issuance under the 2024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Employee stock purchase plan</w:t>
      </w:r>
    </w:p>
    <w:p>
      <w:pPr>
        <w:spacing w:after="0" w:line="1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9"/>
          <w:szCs w:val="19"/>
          <w:color w:val="auto"/>
        </w:rPr>
        <w:t>On August 19, 2024, the Company’s board of directors adopted, and on October 4, 2024 its stockholders approved, the 2024 Employee Stock Purchase Plan (the “2024 ESPP”), which became effective on the date immediately preceding the date on which the IPO registration statement was declared effective by the SEC. A total of 488,467 shares of common stock were initially reserved for issuance under this plan. The 2024 ESPP provides that the number of shares reserved and available for issuance will automatically increase on the first day of each fiscal year, beginning with the fiscal year commencing on January 1, 2025 and continuing each January 1 thereafter through January 1, 2034, by the least of (i) 976,934 shares of common stock, (ii) one percent of the outstanding number of shares of common stock on the immediately preceding December 31, or (iii) such lesser number of shares of common stock as determined by the administrator of the 2024 ESPP. The number of shares reserved under the 2024 ESPP is subject to adjustment in the event of a stock split, stock dividend or other change in the Company’s capitalization. On January 1, 2026, there was no increase to the number of shares of common stock that may be issued under the 2024 ESPP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26,197 shares have been issued under the 2024 ESPP.</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Fair value inputs</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10440"/>
          </w:cols>
          <w:pgMar w:left="900" w:top="696" w:right="900" w:bottom="187" w:gutter="0" w:footer="0" w:header="0"/>
          <w:type w:val="continuous"/>
        </w:sectPr>
      </w:pPr>
    </w:p>
    <w:bookmarkStart w:id="151" w:name="page152"/>
    <w:bookmarkEnd w:id="151"/>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The expected option term is calculated based on the simplified method for awards with service-based conditions, which uses the midpoint between the vesting date and the contractual term, as the Company does not have sufficient historical data to develop an estimate based on participant behavior.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315"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The following table presents, on a weighted-average basis, the assumptions used in the Black-Scholes option-pricing model to determine the fair value of stock options granted: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20" w:type="dxa"/>
            <w:vAlign w:val="bottom"/>
          </w:tcPr>
          <w:p>
            <w:pPr>
              <w:spacing w:after="0"/>
              <w:rPr>
                <w:sz w:val="17"/>
                <w:szCs w:val="17"/>
                <w:color w:val="auto"/>
              </w:rPr>
            </w:pPr>
          </w:p>
        </w:tc>
        <w:tc>
          <w:tcPr>
            <w:tcW w:w="2520" w:type="dxa"/>
            <w:vAlign w:val="bottom"/>
            <w:tcBorders>
              <w:bottom w:val="single" w:sz="8" w:color="auto"/>
            </w:tcBorders>
            <w:gridSpan w:val="5"/>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7920" w:type="dxa"/>
            <w:vAlign w:val="bottom"/>
          </w:tcPr>
          <w:p>
            <w:pPr>
              <w:spacing w:after="0"/>
              <w:rPr>
                <w:sz w:val="16"/>
                <w:szCs w:val="16"/>
                <w:color w:val="auto"/>
              </w:rPr>
            </w:pPr>
          </w:p>
        </w:tc>
        <w:tc>
          <w:tcPr>
            <w:tcW w:w="1010" w:type="dxa"/>
            <w:vAlign w:val="bottom"/>
          </w:tcPr>
          <w:p>
            <w:pPr>
              <w:jc w:val="right"/>
              <w:ind w:right="25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90" w:type="dxa"/>
            <w:vAlign w:val="bottom"/>
          </w:tcPr>
          <w:p>
            <w:pPr>
              <w:spacing w:after="0"/>
              <w:rPr>
                <w:sz w:val="16"/>
                <w:szCs w:val="16"/>
                <w:color w:val="auto"/>
              </w:rPr>
            </w:pPr>
          </w:p>
        </w:tc>
        <w:tc>
          <w:tcPr>
            <w:tcW w:w="1130" w:type="dxa"/>
            <w:vAlign w:val="bottom"/>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90" w:type="dxa"/>
            <w:vAlign w:val="bottom"/>
          </w:tcPr>
          <w:p>
            <w:pPr>
              <w:spacing w:after="0"/>
              <w:rPr>
                <w:sz w:val="16"/>
                <w:szCs w:val="16"/>
                <w:color w:val="auto"/>
              </w:rPr>
            </w:pPr>
          </w:p>
        </w:tc>
      </w:tr>
      <w:tr>
        <w:trPr>
          <w:trHeight w:val="233"/>
        </w:trPr>
        <w:tc>
          <w:tcPr>
            <w:tcW w:w="792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101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92.4</w:t>
            </w:r>
          </w:p>
        </w:tc>
        <w:tc>
          <w:tcPr>
            <w:tcW w:w="19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4EFF4"/>
              </w:rPr>
              <w:t>%</w:t>
            </w:r>
          </w:p>
        </w:tc>
        <w:tc>
          <w:tcPr>
            <w:tcW w:w="100" w:type="dxa"/>
            <w:vAlign w:val="bottom"/>
            <w:tcBorders>
              <w:top w:val="single" w:sz="8" w:color="D4EFF4"/>
            </w:tcBorders>
            <w:shd w:val="clear" w:color="auto" w:fill="D4EFF4"/>
          </w:tcPr>
          <w:p>
            <w:pPr>
              <w:spacing w:after="0"/>
              <w:rPr>
                <w:sz w:val="20"/>
                <w:szCs w:val="20"/>
                <w:color w:val="auto"/>
              </w:rPr>
            </w:pPr>
          </w:p>
        </w:tc>
        <w:tc>
          <w:tcPr>
            <w:tcW w:w="103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79.1</w:t>
            </w:r>
          </w:p>
        </w:tc>
        <w:tc>
          <w:tcPr>
            <w:tcW w:w="19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3"/>
                <w:shd w:val="clear" w:color="auto" w:fill="D4EFF4"/>
              </w:rPr>
              <w:t>%</w:t>
            </w:r>
          </w:p>
        </w:tc>
      </w:tr>
      <w:tr>
        <w:trPr>
          <w:trHeight w:val="245"/>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Expected dividends</w:t>
            </w:r>
          </w:p>
        </w:tc>
        <w:tc>
          <w:tcPr>
            <w:tcW w:w="101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9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c>
          <w:tcPr>
            <w:tcW w:w="100" w:type="dxa"/>
            <w:vAlign w:val="bottom"/>
          </w:tcPr>
          <w:p>
            <w:pPr>
              <w:spacing w:after="0"/>
              <w:rPr>
                <w:sz w:val="21"/>
                <w:szCs w:val="21"/>
                <w:color w:val="auto"/>
              </w:rPr>
            </w:pPr>
          </w:p>
        </w:tc>
        <w:tc>
          <w:tcPr>
            <w:tcW w:w="103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190" w:type="dxa"/>
            <w:vAlign w:val="bottom"/>
          </w:tcPr>
          <w:p>
            <w:pPr>
              <w:jc w:val="right"/>
              <w:spacing w:after="0"/>
              <w:rPr>
                <w:sz w:val="20"/>
                <w:szCs w:val="20"/>
                <w:color w:val="auto"/>
              </w:rPr>
            </w:pPr>
            <w:r>
              <w:rPr>
                <w:rFonts w:ascii="Times New Roman" w:cs="Times New Roman" w:eastAsia="Times New Roman" w:hAnsi="Times New Roman"/>
                <w:sz w:val="20"/>
                <w:szCs w:val="20"/>
                <w:color w:val="auto"/>
                <w:highlight w:val="white"/>
                <w:w w:val="83"/>
              </w:rPr>
              <w:t>%</w:t>
            </w:r>
          </w:p>
        </w:tc>
      </w:tr>
      <w:tr>
        <w:trPr>
          <w:trHeight w:val="244"/>
        </w:trPr>
        <w:tc>
          <w:tcPr>
            <w:tcW w:w="79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0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19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03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90" w:type="dxa"/>
            <w:vAlign w:val="bottom"/>
            <w:shd w:val="clear" w:color="auto" w:fill="D4EFF4"/>
          </w:tcPr>
          <w:p>
            <w:pPr>
              <w:spacing w:after="0"/>
              <w:rPr>
                <w:sz w:val="21"/>
                <w:szCs w:val="21"/>
                <w:color w:val="auto"/>
              </w:rPr>
            </w:pPr>
          </w:p>
        </w:tc>
      </w:tr>
      <w:tr>
        <w:trPr>
          <w:trHeight w:val="267"/>
        </w:trPr>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Risk-free rate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4.24 %</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3.41 %</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-473710</wp:posOffset>
                </wp:positionV>
                <wp:extent cx="6619875"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7.2999pt" to="521.6pt,-37.2999pt" o:allowincell="f" strokecolor="#FFFFFF" strokeweight="0.7199pt"/>
            </w:pict>
          </mc:Fallback>
        </mc:AlternateConten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1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Company generally grants stock-based awards with service-based vesting. During the year ended December 31, 2024, the Company granted performance -based stock options to certain employees and directors for the purchase of an aggregate 1,206,249 shares of common stock with a vesting commencement date contingent upon the achievement of the Series B Option closing, which was achieved in April 2024. The Company determined that it met all the conditions to establish a grant date for these performance-based stock options at the original issuance date and that the performance condition was deemed probable of achievement, as the board of directors had approved the Series B Option closing prior to the grant date. The vesting of the performance-based stock options is also subject to the grantees’ continued service until the fourth anniversary of the Series B Option closing.</w:t>
      </w:r>
    </w:p>
    <w:p>
      <w:pPr>
        <w:spacing w:after="0" w:line="201"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color w:val="auto"/>
        </w:rPr>
        <w:t>The following table summarizes the activity of stock options with service-based and performance-based vesting conditions during the year ended December 31, 2025:</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Intrinsic Value</w:t>
            </w:r>
          </w:p>
        </w:tc>
        <w:tc>
          <w:tcPr>
            <w:tcW w:w="0" w:type="dxa"/>
            <w:vAlign w:val="bottom"/>
          </w:tcPr>
          <w:p>
            <w:pPr>
              <w:spacing w:after="0"/>
              <w:rPr>
                <w:sz w:val="1"/>
                <w:szCs w:val="1"/>
                <w:color w:val="auto"/>
              </w:rPr>
            </w:pPr>
          </w:p>
        </w:tc>
      </w:tr>
      <w:tr>
        <w:trPr>
          <w:trHeight w:val="203"/>
        </w:trPr>
        <w:tc>
          <w:tcPr>
            <w:tcW w:w="5240" w:type="dxa"/>
            <w:vAlign w:val="bottom"/>
            <w:tcBorders>
              <w:bottom w:val="single" w:sz="8" w:color="D4EFF4"/>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20" w:type="dxa"/>
            <w:vAlign w:val="bottom"/>
            <w:tcBorders>
              <w:bottom w:val="single" w:sz="8" w:color="D4EFF4"/>
            </w:tcBorders>
          </w:tcPr>
          <w:p>
            <w:pPr>
              <w:spacing w:after="0"/>
              <w:rPr>
                <w:sz w:val="17"/>
                <w:szCs w:val="17"/>
                <w:color w:val="auto"/>
              </w:rPr>
            </w:pPr>
          </w:p>
        </w:tc>
        <w:tc>
          <w:tcPr>
            <w:tcW w:w="12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20" w:type="dxa"/>
            <w:vAlign w:val="bottom"/>
            <w:tcBorders>
              <w:bottom w:val="single" w:sz="8" w:color="D4EFF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D4EFF4"/>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D4EFF4"/>
            </w:tcBorders>
          </w:tcPr>
          <w:p>
            <w:pPr>
              <w:spacing w:after="0"/>
              <w:rPr>
                <w:sz w:val="17"/>
                <w:szCs w:val="17"/>
                <w:color w:val="auto"/>
              </w:rPr>
            </w:pPr>
          </w:p>
        </w:tc>
        <w:tc>
          <w:tcPr>
            <w:tcW w:w="11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34"/>
        </w:trPr>
        <w:tc>
          <w:tcPr>
            <w:tcW w:w="524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Outstanding as of December 31, 2024</w:t>
            </w:r>
          </w:p>
        </w:tc>
        <w:tc>
          <w:tcPr>
            <w:tcW w:w="10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6,490,571</w:t>
            </w:r>
          </w:p>
        </w:tc>
        <w:tc>
          <w:tcPr>
            <w:tcW w:w="10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940" w:type="dxa"/>
            <w:vAlign w:val="bottom"/>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w w:val="97"/>
              </w:rPr>
              <w:t>5.54</w:t>
            </w:r>
          </w:p>
        </w:tc>
        <w:tc>
          <w:tcPr>
            <w:tcW w:w="100" w:type="dxa"/>
            <w:vAlign w:val="bottom"/>
            <w:shd w:val="clear" w:color="auto" w:fill="D4EFF4"/>
          </w:tcPr>
          <w:p>
            <w:pPr>
              <w:spacing w:after="0"/>
              <w:rPr>
                <w:sz w:val="20"/>
                <w:szCs w:val="20"/>
                <w:color w:val="auto"/>
              </w:rPr>
            </w:pPr>
          </w:p>
        </w:tc>
        <w:tc>
          <w:tcPr>
            <w:tcW w:w="100" w:type="dxa"/>
            <w:vAlign w:val="bottom"/>
            <w:shd w:val="clear" w:color="auto" w:fill="D4EFF4"/>
          </w:tcPr>
          <w:p>
            <w:pPr>
              <w:spacing w:after="0"/>
              <w:rPr>
                <w:sz w:val="20"/>
                <w:szCs w:val="20"/>
                <w:color w:val="auto"/>
              </w:rPr>
            </w:pPr>
          </w:p>
        </w:tc>
        <w:tc>
          <w:tcPr>
            <w:tcW w:w="1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1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p>
        </w:tc>
        <w:tc>
          <w:tcPr>
            <w:tcW w:w="1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94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71,266</w:t>
            </w:r>
          </w:p>
        </w:tc>
        <w:tc>
          <w:tcPr>
            <w:tcW w:w="120" w:type="dxa"/>
            <w:vAlign w:val="bottom"/>
            <w:shd w:val="clear" w:color="auto" w:fill="D4EFF4"/>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2,222,826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7"/>
              </w:rPr>
              <w:t>9.45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(608,155</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940" w:type="dxa"/>
            <w:vAlign w:val="bottom"/>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w w:val="97"/>
              </w:rPr>
              <w:t>3.95</w:t>
            </w:r>
          </w:p>
        </w:tc>
        <w:tc>
          <w:tcPr>
            <w:tcW w:w="10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10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9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52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Forfeited</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(52,151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ind w:left="580"/>
              <w:spacing w:after="0"/>
              <w:rPr>
                <w:sz w:val="20"/>
                <w:szCs w:val="20"/>
                <w:color w:val="auto"/>
              </w:rPr>
            </w:pPr>
            <w:r>
              <w:rPr>
                <w:rFonts w:ascii="Times New Roman" w:cs="Times New Roman" w:eastAsia="Times New Roman" w:hAnsi="Times New Roman"/>
                <w:sz w:val="20"/>
                <w:szCs w:val="20"/>
                <w:color w:val="auto"/>
                <w:w w:val="97"/>
              </w:rPr>
              <w:t>7.37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Cancelled</w:t>
            </w: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(92,363</w:t>
            </w: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1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940" w:type="dxa"/>
            <w:vAlign w:val="bottom"/>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w w:val="97"/>
              </w:rPr>
              <w:t>3.57</w:t>
            </w:r>
          </w:p>
        </w:tc>
        <w:tc>
          <w:tcPr>
            <w:tcW w:w="10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10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94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24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Outstanding as of December 31, 2025</w:t>
            </w:r>
          </w:p>
        </w:tc>
        <w:tc>
          <w:tcPr>
            <w:tcW w:w="120" w:type="dxa"/>
            <w:vAlign w:val="bottom"/>
            <w:tcBorders>
              <w:bottom w:val="single" w:sz="8" w:color="D4EFF4"/>
            </w:tcBorders>
            <w:gridSpan w:val="2"/>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7,960,728</w:t>
            </w: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D4EFF4"/>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D4EFF4"/>
            </w:tcBorders>
          </w:tcPr>
          <w:p>
            <w:pPr>
              <w:ind w:left="580"/>
              <w:spacing w:after="0"/>
              <w:rPr>
                <w:sz w:val="20"/>
                <w:szCs w:val="20"/>
                <w:color w:val="auto"/>
              </w:rPr>
            </w:pPr>
            <w:r>
              <w:rPr>
                <w:rFonts w:ascii="Times New Roman" w:cs="Times New Roman" w:eastAsia="Times New Roman" w:hAnsi="Times New Roman"/>
                <w:sz w:val="20"/>
                <w:szCs w:val="20"/>
                <w:color w:val="auto"/>
                <w:w w:val="97"/>
              </w:rPr>
              <w:t>6.77</w:t>
            </w:r>
          </w:p>
        </w:tc>
        <w:tc>
          <w:tcPr>
            <w:tcW w:w="130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360" w:type="dxa"/>
            <w:vAlign w:val="bottom"/>
            <w:tcBorders>
              <w:bottom w:val="single" w:sz="8" w:color="D4EFF4"/>
            </w:tcBorders>
            <w:gridSpan w:val="3"/>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162,277</w:t>
            </w:r>
          </w:p>
        </w:tc>
        <w:tc>
          <w:tcPr>
            <w:tcW w:w="120" w:type="dxa"/>
            <w:vAlign w:val="bottom"/>
            <w:tcBorders>
              <w:bottom w:val="single" w:sz="8" w:color="D4EFF4"/>
            </w:tcBorders>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524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Options exercisable December 31, 2025</w:t>
            </w:r>
          </w:p>
        </w:tc>
        <w:tc>
          <w:tcPr>
            <w:tcW w:w="10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3,619,126</w:t>
            </w:r>
          </w:p>
        </w:tc>
        <w:tc>
          <w:tcPr>
            <w:tcW w:w="100" w:type="dxa"/>
            <w:vAlign w:val="bottom"/>
            <w:tcBorders>
              <w:bottom w:val="single" w:sz="8" w:color="auto"/>
            </w:tcBorders>
            <w:shd w:val="clear" w:color="auto" w:fill="D4EFF4"/>
          </w:tcPr>
          <w:p>
            <w:pPr>
              <w:spacing w:after="0"/>
              <w:rPr>
                <w:sz w:val="21"/>
                <w:szCs w:val="21"/>
                <w:color w:val="auto"/>
              </w:rPr>
            </w:pPr>
          </w:p>
        </w:tc>
        <w:tc>
          <w:tcPr>
            <w:tcW w:w="12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940" w:type="dxa"/>
            <w:vAlign w:val="bottom"/>
            <w:tcBorders>
              <w:bottom w:val="single" w:sz="8" w:color="D4EFF4"/>
            </w:tcBorders>
            <w:shd w:val="clear" w:color="auto" w:fill="D4EFF4"/>
          </w:tcPr>
          <w:p>
            <w:pPr>
              <w:ind w:left="580"/>
              <w:spacing w:after="0"/>
              <w:rPr>
                <w:sz w:val="20"/>
                <w:szCs w:val="20"/>
                <w:color w:val="auto"/>
              </w:rPr>
            </w:pPr>
            <w:r>
              <w:rPr>
                <w:rFonts w:ascii="Times New Roman" w:cs="Times New Roman" w:eastAsia="Times New Roman" w:hAnsi="Times New Roman"/>
                <w:sz w:val="20"/>
                <w:szCs w:val="20"/>
                <w:color w:val="auto"/>
                <w:w w:val="97"/>
              </w:rPr>
              <w:t>5.50</w:t>
            </w:r>
          </w:p>
        </w:tc>
        <w:tc>
          <w:tcPr>
            <w:tcW w:w="10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D4EFF4"/>
            </w:tcBorders>
            <w:shd w:val="clear" w:color="auto" w:fill="D4EFF4"/>
          </w:tcPr>
          <w:p>
            <w:pPr>
              <w:spacing w:after="0"/>
              <w:rPr>
                <w:sz w:val="21"/>
                <w:szCs w:val="21"/>
                <w:color w:val="auto"/>
              </w:rPr>
            </w:pPr>
          </w:p>
        </w:tc>
        <w:tc>
          <w:tcPr>
            <w:tcW w:w="110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7.2</w:t>
            </w:r>
          </w:p>
        </w:tc>
        <w:tc>
          <w:tcPr>
            <w:tcW w:w="1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w w:val="99"/>
                <w:shd w:val="clear" w:color="auto" w:fill="D4EFF4"/>
              </w:rPr>
              <w:t>$</w:t>
            </w:r>
          </w:p>
        </w:tc>
        <w:tc>
          <w:tcPr>
            <w:tcW w:w="940" w:type="dxa"/>
            <w:vAlign w:val="bottom"/>
            <w:tcBorders>
              <w:bottom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78,346</w:t>
            </w:r>
          </w:p>
        </w:tc>
        <w:tc>
          <w:tcPr>
            <w:tcW w:w="120" w:type="dxa"/>
            <w:vAlign w:val="bottom"/>
            <w:tcBorders>
              <w:bottom w:val="single" w:sz="8" w:color="D4EFF4"/>
            </w:tcBorders>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Vested and expected to vest December 31, 2025</w:t>
            </w:r>
          </w:p>
        </w:tc>
        <w:tc>
          <w:tcPr>
            <w:tcW w:w="1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20"/>
                <w:szCs w:val="20"/>
                <w:color w:val="auto"/>
                <w:w w:val="97"/>
              </w:rPr>
              <w:t>6.77</w:t>
            </w: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360" w:type="dxa"/>
            <w:vAlign w:val="bottom"/>
            <w:gridSpan w:val="3"/>
            <w:vMerge w:val="restart"/>
          </w:tcPr>
          <w:p>
            <w:pPr>
              <w:ind w:left="240"/>
              <w:spacing w:after="0"/>
              <w:rPr>
                <w:sz w:val="20"/>
                <w:szCs w:val="20"/>
                <w:color w:val="auto"/>
              </w:rPr>
            </w:pPr>
            <w:r>
              <w:rPr>
                <w:rFonts w:ascii="Times New Roman" w:cs="Times New Roman" w:eastAsia="Times New Roman" w:hAnsi="Times New Roman"/>
                <w:sz w:val="20"/>
                <w:szCs w:val="20"/>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162,277</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gridSpan w:val="2"/>
          </w:tcPr>
          <w:p>
            <w:pPr>
              <w:spacing w:after="0"/>
              <w:rPr>
                <w:sz w:val="18"/>
                <w:szCs w:val="18"/>
                <w:color w:val="auto"/>
              </w:rPr>
            </w:pPr>
          </w:p>
        </w:tc>
        <w:tc>
          <w:tcPr>
            <w:tcW w:w="110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7,960,728</w:t>
            </w:r>
          </w:p>
        </w:tc>
        <w:tc>
          <w:tcPr>
            <w:tcW w:w="100" w:type="dxa"/>
            <w:vAlign w:val="bottom"/>
            <w:tcBorders>
              <w:top w:val="single" w:sz="8" w:color="auto"/>
            </w:tcBorders>
          </w:tcPr>
          <w:p>
            <w:pPr>
              <w:spacing w:after="0"/>
              <w:rPr>
                <w:sz w:val="18"/>
                <w:szCs w:val="18"/>
                <w:color w:val="auto"/>
              </w:rPr>
            </w:pPr>
          </w:p>
        </w:tc>
        <w:tc>
          <w:tcPr>
            <w:tcW w:w="22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-861695</wp:posOffset>
                </wp:positionV>
                <wp:extent cx="6619875"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7.8499pt" to="521.6pt,-67.8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-193040</wp:posOffset>
                </wp:positionV>
                <wp:extent cx="3394710" cy="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4710" cy="4763"/>
                        </a:xfrm>
                        <a:prstGeom prst="line">
                          <a:avLst/>
                        </a:prstGeom>
                        <a:solidFill>
                          <a:srgbClr val="FFFFFF"/>
                        </a:solidFill>
                        <a:ln w="37339">
                          <a:solidFill>
                            <a:srgbClr val="FFFFFF"/>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5.1999pt" to="267.65pt,-15.1999pt" o:allowincell="f" strokecolor="#FFFFFF" strokeweight="2.9401pt"/>
            </w:pict>
          </mc:Fallback>
        </mc:AlternateContent>
        <mc:AlternateContent>
          <mc:Choice Requires="wps">
            <w:drawing>
              <wp:anchor simplePos="0" relativeHeight="251657728" behindDoc="1" locked="0" layoutInCell="0" allowOverlap="1">
                <wp:simplePos x="0" y="0"/>
                <wp:positionH relativeFrom="column">
                  <wp:posOffset>4168775</wp:posOffset>
                </wp:positionH>
                <wp:positionV relativeFrom="paragraph">
                  <wp:posOffset>-193040</wp:posOffset>
                </wp:positionV>
                <wp:extent cx="2455545" cy="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5545" cy="4763"/>
                        </a:xfrm>
                        <a:prstGeom prst="line">
                          <a:avLst/>
                        </a:prstGeom>
                        <a:solidFill>
                          <a:srgbClr val="FFFFFF"/>
                        </a:solidFill>
                        <a:ln w="37339">
                          <a:solidFill>
                            <a:srgbClr val="FFFFFF"/>
                          </a:solidFill>
                          <a:miter lim="800000"/>
                          <a:headEnd/>
                          <a:tailEnd/>
                        </a:ln>
                      </wps:spPr>
                      <wps:bodyPr/>
                    </wps:wsp>
                  </a:graphicData>
                </a:graphic>
              </wp:anchor>
            </w:drawing>
          </mc:Choice>
          <mc:Fallback>
            <w:pict>
              <v:line id="Shape 110" o:spid="_x0000_s11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25pt,-15.1999pt" to="521.6pt,-15.1999pt" o:allowincell="f" strokecolor="#FFFFFF" strokeweight="2.9401pt"/>
            </w:pict>
          </mc:Fallback>
        </mc:AlternateContent>
      </w:r>
    </w:p>
    <w:p>
      <w:pPr>
        <w:spacing w:after="0" w:line="2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The aggregate intrinsic value of stock options exercised during the years ended December 31, 2025 and 2024 was $7.8 million and $0.3 million, respectively.</w:t>
      </w:r>
    </w:p>
    <w:p>
      <w:pPr>
        <w:spacing w:after="0" w:line="19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The weighted-average grant-date fair value of options granted during the years ended December 31, 2025 and 2024 was $7.32 and $5.10, respectively.</w:t>
      </w:r>
    </w:p>
    <w:p>
      <w:pPr>
        <w:sectPr>
          <w:pgSz w:w="12240" w:h="15840" w:orient="portrait"/>
          <w:cols w:equalWidth="0" w:num="1">
            <w:col w:w="10440"/>
          </w:cols>
          <w:pgMar w:left="900" w:top="696" w:right="900" w:bottom="187"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10440"/>
          </w:cols>
          <w:pgMar w:left="900" w:top="696" w:right="900" w:bottom="187" w:gutter="0" w:footer="0" w:header="0"/>
          <w:type w:val="continuous"/>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380"/>
        <w:spacing w:after="0" w:line="277" w:lineRule="auto"/>
        <w:rPr>
          <w:sz w:val="20"/>
          <w:szCs w:val="20"/>
          <w:color w:val="auto"/>
        </w:rPr>
      </w:pPr>
      <w:r>
        <w:rPr>
          <w:rFonts w:ascii="Times New Roman" w:cs="Times New Roman" w:eastAsia="Times New Roman" w:hAnsi="Times New Roman"/>
          <w:sz w:val="20"/>
          <w:szCs w:val="20"/>
          <w:color w:val="auto"/>
        </w:rPr>
        <w:t>As of December 31, 2025, there was $21.4 million of total unrecognized compensation cost related to unvested stock options, which is expected to be recognized over a weighted-average period of 2.4 years.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Modification of certain stock-based compensation awards</w:t>
      </w:r>
    </w:p>
    <w:p>
      <w:pPr>
        <w:spacing w:after="0" w:line="12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In February 2024, the Company entered into a separation agreement with the Company’s former Chief Operating Officer (“COO”), effective March 2024. Under the terms of the separation agreement, stock options for the purchase of 142,935 shares of common stock, representing all of the vested options held by the former COO as of the date of her termination, became exercisable for one year following her termination.</w:t>
      </w:r>
    </w:p>
    <w:p>
      <w:pPr>
        <w:spacing w:after="0" w:line="193"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In March 2024, the Company entered into a separation agreement with the Company’s former Chief Executive Officer (“CEO”), effective March 2024. Under the terms of the separation agreement, vesting of options for the purchase of 38,245 shares of common stock held by the former CEO were accelerated with no change to the exercise price of such options. In addition, stock options for the purchase of 532,553 shares of common stock, representing all of the vested options held by the former CEO as of the date of her termination, became exercisable for two years following her termination.</w:t>
      </w:r>
    </w:p>
    <w:p>
      <w:pPr>
        <w:spacing w:after="0" w:line="19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color w:val="auto"/>
        </w:rPr>
        <w:t>As a result of these modifications, the Company recognized $0.7 million of incremental stock-based compensation during the year ended December 31, 2024.</w:t>
      </w:r>
    </w:p>
    <w:p>
      <w:pPr>
        <w:spacing w:after="0" w:line="168"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20"/>
          <w:szCs w:val="20"/>
          <w:color w:val="auto"/>
        </w:rPr>
        <w:t>The following table illustrates the classification of stock-based compensation in the consolidated statements of operations and comprehensive loss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9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255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r>
      <w:tr>
        <w:trPr>
          <w:trHeight w:val="189"/>
        </w:trPr>
        <w:tc>
          <w:tcPr>
            <w:tcW w:w="699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60" w:type="dxa"/>
            <w:vAlign w:val="bottom"/>
          </w:tcPr>
          <w:p>
            <w:pPr>
              <w:spacing w:after="0"/>
              <w:rPr>
                <w:sz w:val="16"/>
                <w:szCs w:val="16"/>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Pr>
          <w:p>
            <w:pPr>
              <w:spacing w:after="0"/>
              <w:rPr>
                <w:sz w:val="16"/>
                <w:szCs w:val="16"/>
                <w:color w:val="auto"/>
              </w:rPr>
            </w:pPr>
          </w:p>
        </w:tc>
      </w:tr>
      <w:tr>
        <w:trPr>
          <w:trHeight w:val="233"/>
        </w:trPr>
        <w:tc>
          <w:tcPr>
            <w:tcW w:w="699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5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11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70" w:type="dxa"/>
            <w:vAlign w:val="bottom"/>
            <w:tcBorders>
              <w:top w:val="single" w:sz="8" w:color="auto"/>
            </w:tcBorders>
            <w:shd w:val="clear" w:color="auto" w:fill="D4EFF4"/>
          </w:tcPr>
          <w:p>
            <w:pPr>
              <w:spacing w:after="0"/>
              <w:rPr>
                <w:sz w:val="20"/>
                <w:szCs w:val="20"/>
                <w:color w:val="auto"/>
              </w:rPr>
            </w:pPr>
          </w:p>
        </w:tc>
        <w:tc>
          <w:tcPr>
            <w:tcW w:w="560" w:type="dxa"/>
            <w:vAlign w:val="bottom"/>
            <w:tcBorders>
              <w:top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7,478</w:t>
            </w:r>
          </w:p>
        </w:tc>
        <w:tc>
          <w:tcPr>
            <w:tcW w:w="120" w:type="dxa"/>
            <w:vAlign w:val="bottom"/>
            <w:tcBorders>
              <w:top w:val="single" w:sz="8" w:color="auto"/>
            </w:tcBorders>
            <w:shd w:val="clear" w:color="auto" w:fill="D4EFF4"/>
          </w:tcPr>
          <w:p>
            <w:pPr>
              <w:spacing w:after="0"/>
              <w:rPr>
                <w:sz w:val="20"/>
                <w:szCs w:val="20"/>
                <w:color w:val="auto"/>
              </w:rPr>
            </w:pPr>
          </w:p>
        </w:tc>
        <w:tc>
          <w:tcPr>
            <w:tcW w:w="14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tcBorders>
            <w:shd w:val="clear" w:color="auto" w:fill="D4EFF4"/>
          </w:tcPr>
          <w:p>
            <w:pPr>
              <w:spacing w:after="0"/>
              <w:rPr>
                <w:sz w:val="20"/>
                <w:szCs w:val="20"/>
                <w:color w:val="auto"/>
              </w:rPr>
            </w:pPr>
          </w:p>
        </w:tc>
        <w:tc>
          <w:tcPr>
            <w:tcW w:w="940" w:type="dxa"/>
            <w:vAlign w:val="bottom"/>
            <w:tcBorders>
              <w:top w:val="single" w:sz="8" w:color="auto"/>
            </w:tcBorders>
            <w:shd w:val="clear" w:color="auto" w:fill="D4EFF4"/>
          </w:tcPr>
          <w:p>
            <w:pPr>
              <w:jc w:val="right"/>
              <w:ind w:right="740"/>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620" w:type="dxa"/>
            <w:vAlign w:val="bottom"/>
            <w:tcBorders>
              <w:top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4,842</w:t>
            </w:r>
          </w:p>
        </w:tc>
      </w:tr>
      <w:tr>
        <w:trPr>
          <w:trHeight w:val="245"/>
        </w:trPr>
        <w:tc>
          <w:tcPr>
            <w:tcW w:w="699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5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77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2,854</w:t>
            </w: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1,162</w:t>
            </w:r>
          </w:p>
        </w:tc>
      </w:tr>
      <w:tr>
        <w:trPr>
          <w:trHeight w:val="234"/>
        </w:trPr>
        <w:tc>
          <w:tcPr>
            <w:tcW w:w="6990" w:type="dxa"/>
            <w:vAlign w:val="bottom"/>
            <w:shd w:val="clear" w:color="auto" w:fill="D4EFF4"/>
          </w:tcPr>
          <w:p>
            <w:pPr>
              <w:spacing w:after="0"/>
              <w:rPr>
                <w:sz w:val="20"/>
                <w:szCs w:val="20"/>
                <w:color w:val="auto"/>
              </w:rPr>
            </w:pPr>
          </w:p>
        </w:tc>
        <w:tc>
          <w:tcPr>
            <w:tcW w:w="15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770" w:type="dxa"/>
            <w:vAlign w:val="bottom"/>
            <w:tcBorders>
              <w:bottom w:val="single" w:sz="8" w:color="auto"/>
            </w:tcBorders>
            <w:shd w:val="clear" w:color="auto" w:fill="D4EFF4"/>
          </w:tcPr>
          <w:p>
            <w:pPr>
              <w:spacing w:after="0"/>
              <w:rPr>
                <w:sz w:val="20"/>
                <w:szCs w:val="20"/>
                <w:color w:val="auto"/>
              </w:rPr>
            </w:pPr>
          </w:p>
        </w:tc>
        <w:tc>
          <w:tcPr>
            <w:tcW w:w="5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98"/>
              </w:rPr>
              <w:t>10,332</w:t>
            </w:r>
          </w:p>
        </w:tc>
        <w:tc>
          <w:tcPr>
            <w:tcW w:w="120" w:type="dxa"/>
            <w:vAlign w:val="bottom"/>
            <w:tcBorders>
              <w:bottom w:val="single" w:sz="8" w:color="auto"/>
            </w:tcBorders>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940" w:type="dxa"/>
            <w:vAlign w:val="bottom"/>
            <w:tcBorders>
              <w:bottom w:val="single" w:sz="8" w:color="auto"/>
            </w:tcBorders>
            <w:shd w:val="clear" w:color="auto" w:fill="D4EFF4"/>
          </w:tcPr>
          <w:p>
            <w:pPr>
              <w:jc w:val="right"/>
              <w:ind w:right="740"/>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620" w:type="dxa"/>
            <w:vAlign w:val="bottom"/>
            <w:tcBorders>
              <w:bottom w:val="single" w:sz="8" w:color="auto"/>
            </w:tcBorders>
            <w:shd w:val="clear" w:color="auto" w:fill="D4EFF4"/>
          </w:tcPr>
          <w:p>
            <w:pPr>
              <w:jc w:val="right"/>
              <w:ind w:right="20"/>
              <w:spacing w:after="0"/>
              <w:rPr>
                <w:sz w:val="20"/>
                <w:szCs w:val="20"/>
                <w:color w:val="auto"/>
              </w:rPr>
            </w:pPr>
            <w:r>
              <w:rPr>
                <w:rFonts w:ascii="Times New Roman" w:cs="Times New Roman" w:eastAsia="Times New Roman" w:hAnsi="Times New Roman"/>
                <w:sz w:val="20"/>
                <w:szCs w:val="20"/>
                <w:color w:val="auto"/>
              </w:rPr>
              <w:t>6,004</w:t>
            </w:r>
          </w:p>
        </w:tc>
      </w:tr>
      <w:tr>
        <w:trPr>
          <w:trHeight w:val="20"/>
        </w:trPr>
        <w:tc>
          <w:tcPr>
            <w:tcW w:w="6990" w:type="dxa"/>
            <w:vAlign w:val="bottom"/>
          </w:tcPr>
          <w:p>
            <w:pPr>
              <w:spacing w:after="0" w:line="20" w:lineRule="exact"/>
              <w:rPr>
                <w:sz w:val="1"/>
                <w:szCs w:val="1"/>
                <w:color w:val="auto"/>
              </w:rPr>
            </w:pPr>
          </w:p>
        </w:tc>
        <w:tc>
          <w:tcPr>
            <w:tcW w:w="15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77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12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Company's entire pretax loss for the year ended December 31, 2025 and 2024 was from its U.S. domestic operations. During the years ended December 31, 2025 and 2024, the Company did not record a provision for income taxes because it has incurred net operating losses since inception and maintains a full valuation allowance against its deferred tax assets.</w:t>
      </w:r>
    </w:p>
    <w:p>
      <w:pPr>
        <w:spacing w:after="0" w:line="10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income tax rate is as follows (amount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6"/>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Year Ended December 31, 2025</w:t>
            </w:r>
          </w:p>
        </w:tc>
        <w:tc>
          <w:tcPr>
            <w:tcW w:w="0" w:type="dxa"/>
            <w:vAlign w:val="bottom"/>
          </w:tcPr>
          <w:p>
            <w:pPr>
              <w:spacing w:after="0"/>
              <w:rPr>
                <w:sz w:val="1"/>
                <w:szCs w:val="1"/>
                <w:color w:val="auto"/>
              </w:rPr>
            </w:pPr>
          </w:p>
        </w:tc>
      </w:tr>
      <w:tr>
        <w:trPr>
          <w:trHeight w:val="188"/>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Rate</w:t>
            </w:r>
          </w:p>
        </w:tc>
        <w:tc>
          <w:tcPr>
            <w:tcW w:w="0" w:type="dxa"/>
            <w:vAlign w:val="bottom"/>
          </w:tcPr>
          <w:p>
            <w:pPr>
              <w:spacing w:after="0"/>
              <w:rPr>
                <w:sz w:val="1"/>
                <w:szCs w:val="1"/>
                <w:color w:val="auto"/>
              </w:rPr>
            </w:pPr>
          </w:p>
        </w:tc>
      </w:tr>
      <w:tr>
        <w:trPr>
          <w:trHeight w:val="234"/>
        </w:trPr>
        <w:tc>
          <w:tcPr>
            <w:tcW w:w="636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(30,123 )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21.0 %</w:t>
            </w:r>
          </w:p>
        </w:tc>
        <w:tc>
          <w:tcPr>
            <w:tcW w:w="0" w:type="dxa"/>
            <w:vAlign w:val="bottom"/>
          </w:tcPr>
          <w:p>
            <w:pPr>
              <w:spacing w:after="0"/>
              <w:rPr>
                <w:sz w:val="1"/>
                <w:szCs w:val="1"/>
                <w:color w:val="auto"/>
              </w:rPr>
            </w:pPr>
          </w:p>
        </w:tc>
      </w:tr>
      <w:tr>
        <w:trPr>
          <w:trHeight w:val="244"/>
        </w:trPr>
        <w:tc>
          <w:tcPr>
            <w:tcW w:w="63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9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Effect of changes in tax laws or rates enacted in the current period</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6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Tax Credits</w:t>
            </w:r>
          </w:p>
        </w:tc>
        <w:tc>
          <w:tcPr>
            <w:tcW w:w="9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80" w:type="dxa"/>
            <w:vAlign w:val="bottom"/>
            <w:shd w:val="clear" w:color="auto" w:fill="D4EFF4"/>
          </w:tcPr>
          <w:p>
            <w:pPr>
              <w:spacing w:after="0"/>
              <w:rPr>
                <w:sz w:val="21"/>
                <w:szCs w:val="21"/>
                <w:color w:val="auto"/>
              </w:rPr>
            </w:pPr>
          </w:p>
        </w:tc>
        <w:tc>
          <w:tcPr>
            <w:tcW w:w="1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(2,136 )</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9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128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32,342</w:t>
            </w:r>
          </w:p>
        </w:tc>
        <w:tc>
          <w:tcPr>
            <w:tcW w:w="1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(22.5</w:t>
            </w:r>
          </w:p>
        </w:tc>
        <w:tc>
          <w:tcPr>
            <w:tcW w:w="260" w:type="dxa"/>
            <w:vAlign w:val="bottom"/>
            <w:shd w:val="clear" w:color="auto" w:fill="D4EFF4"/>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4"/>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6360" w:type="dxa"/>
            <w:vAlign w:val="bottom"/>
            <w:tcBorders>
              <w:bottom w:val="single" w:sz="8" w:color="D4EFF4"/>
            </w:tcBorders>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00" w:type="dxa"/>
            <w:vAlign w:val="bottom"/>
            <w:tcBorders>
              <w:bottom w:val="single" w:sz="8" w:color="auto"/>
            </w:tcBorders>
            <w:shd w:val="clear" w:color="auto" w:fill="D4EFF4"/>
          </w:tcPr>
          <w:p>
            <w:pPr>
              <w:spacing w:after="0"/>
              <w:rPr>
                <w:sz w:val="23"/>
                <w:szCs w:val="23"/>
                <w:color w:val="auto"/>
              </w:rPr>
            </w:pPr>
          </w:p>
        </w:tc>
        <w:tc>
          <w:tcPr>
            <w:tcW w:w="128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80" w:type="dxa"/>
            <w:vAlign w:val="bottom"/>
            <w:shd w:val="clear" w:color="auto" w:fill="D4EFF4"/>
          </w:tcPr>
          <w:p>
            <w:pPr>
              <w:spacing w:after="0"/>
              <w:rPr>
                <w:sz w:val="23"/>
                <w:szCs w:val="23"/>
                <w:color w:val="auto"/>
              </w:rPr>
            </w:pPr>
          </w:p>
        </w:tc>
        <w:tc>
          <w:tcPr>
            <w:tcW w:w="20" w:type="dxa"/>
            <w:vAlign w:val="bottom"/>
            <w:shd w:val="clear" w:color="auto" w:fill="D4EFF4"/>
          </w:tcPr>
          <w:p>
            <w:pPr>
              <w:spacing w:after="0"/>
              <w:rPr>
                <w:sz w:val="23"/>
                <w:szCs w:val="23"/>
                <w:color w:val="auto"/>
              </w:rPr>
            </w:pPr>
          </w:p>
        </w:tc>
        <w:tc>
          <w:tcPr>
            <w:tcW w:w="13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tcBorders>
              <w:bottom w:val="single" w:sz="8" w:color="auto"/>
            </w:tcBorders>
            <w:shd w:val="clear" w:color="auto" w:fill="D4EFF4"/>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line="215" w:lineRule="exact"/>
              <w:rPr>
                <w:sz w:val="20"/>
                <w:szCs w:val="20"/>
                <w:color w:val="auto"/>
              </w:rPr>
            </w:pPr>
            <w:r>
              <w:rPr>
                <w:rFonts w:ascii="Times New Roman" w:cs="Times New Roman" w:eastAsia="Times New Roman" w:hAnsi="Times New Roman"/>
                <w:sz w:val="20"/>
                <w:szCs w:val="20"/>
                <w:color w:val="auto"/>
              </w:rPr>
              <w:t>Effective income tax rate</w:t>
            </w:r>
          </w:p>
        </w:tc>
        <w:tc>
          <w:tcPr>
            <w:tcW w:w="920" w:type="dxa"/>
            <w:vAlign w:val="bottom"/>
            <w:gridSpan w:val="2"/>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vMerge w:val="restart"/>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2"/>
            <w:vMerge w:val="restart"/>
          </w:tcPr>
          <w:p>
            <w:pPr>
              <w:jc w:val="right"/>
              <w:spacing w:after="0" w:line="215" w:lineRule="exact"/>
              <w:rPr>
                <w:sz w:val="20"/>
                <w:szCs w:val="20"/>
                <w:color w:val="auto"/>
              </w:rPr>
            </w:pPr>
            <w:r>
              <w:rPr>
                <w:rFonts w:ascii="Times New Roman" w:cs="Times New Roman" w:eastAsia="Times New Roman" w:hAnsi="Times New Roman"/>
                <w:sz w:val="20"/>
                <w:szCs w:val="20"/>
                <w:color w:val="auto"/>
              </w:rPr>
              <w:t>(0.0 )%</w:t>
            </w:r>
          </w:p>
        </w:tc>
        <w:tc>
          <w:tcPr>
            <w:tcW w:w="0" w:type="dxa"/>
            <w:vAlign w:val="bottom"/>
          </w:tcPr>
          <w:p>
            <w:pPr>
              <w:spacing w:after="0" w:line="20" w:lineRule="exact"/>
              <w:rPr>
                <w:sz w:val="1"/>
                <w:szCs w:val="1"/>
                <w:color w:val="auto"/>
              </w:rPr>
            </w:pPr>
          </w:p>
        </w:tc>
      </w:tr>
      <w:tr>
        <w:trPr>
          <w:trHeight w:val="196"/>
        </w:trPr>
        <w:tc>
          <w:tcPr>
            <w:tcW w:w="636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4613910</wp:posOffset>
                </wp:positionH>
                <wp:positionV relativeFrom="paragraph">
                  <wp:posOffset>-1556385</wp:posOffset>
                </wp:positionV>
                <wp:extent cx="201041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1041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3pt,-122.5499pt" to="521.6pt,-122.5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-494030</wp:posOffset>
                </wp:positionV>
                <wp:extent cx="661987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8.8999pt" to="521.6pt,-38.8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-181610</wp:posOffset>
                </wp:positionV>
                <wp:extent cx="460946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609465"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999pt" to="363.3pt,-14.2999pt" o:allowincell="f" strokecolor="#FFFFFF" strokeweight="1.2001pt"/>
            </w:pict>
          </mc:Fallback>
        </mc:AlternateConten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10440"/>
          </w:cols>
          <w:pgMar w:left="900" w:top="696" w:right="900" w:bottom="187"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60" w:type="dxa"/>
            <w:vAlign w:val="bottom"/>
          </w:tcPr>
          <w:p>
            <w:pPr>
              <w:spacing w:after="0"/>
              <w:rPr>
                <w:sz w:val="17"/>
                <w:szCs w:val="17"/>
                <w:color w:val="auto"/>
              </w:rPr>
            </w:pPr>
          </w:p>
        </w:tc>
        <w:tc>
          <w:tcPr>
            <w:tcW w:w="110" w:type="dxa"/>
            <w:vAlign w:val="bottom"/>
            <w:tcBorders>
              <w:bottom w:val="single" w:sz="8" w:color="auto"/>
            </w:tcBorders>
          </w:tcPr>
          <w:p>
            <w:pPr>
              <w:spacing w:after="0"/>
              <w:rPr>
                <w:sz w:val="17"/>
                <w:szCs w:val="17"/>
                <w:color w:val="auto"/>
              </w:rPr>
            </w:pPr>
          </w:p>
        </w:tc>
        <w:tc>
          <w:tcPr>
            <w:tcW w:w="3070" w:type="dxa"/>
            <w:vAlign w:val="bottom"/>
            <w:tcBorders>
              <w:bottom w:val="single" w:sz="8" w:color="auto"/>
            </w:tcBorders>
            <w:gridSpan w:val="7"/>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tc>
      </w:tr>
      <w:tr>
        <w:trPr>
          <w:trHeight w:val="234"/>
        </w:trPr>
        <w:tc>
          <w:tcPr>
            <w:tcW w:w="7260" w:type="dxa"/>
            <w:vAlign w:val="bottom"/>
            <w:tcBorders>
              <w:bottom w:val="single" w:sz="8" w:color="D4EFF4"/>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39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560" w:type="dxa"/>
            <w:vAlign w:val="bottom"/>
            <w:tcBorders>
              <w:bottom w:val="single" w:sz="8" w:color="auto"/>
            </w:tcBorders>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Rate</w:t>
            </w:r>
          </w:p>
        </w:tc>
      </w:tr>
      <w:tr>
        <w:trPr>
          <w:trHeight w:val="233"/>
        </w:trPr>
        <w:tc>
          <w:tcPr>
            <w:tcW w:w="72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U.S. federal statutory income tax rate</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(13,189</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shd w:val="clear" w:color="auto" w:fill="D4EFF4"/>
          </w:tcPr>
          <w:p>
            <w:pPr>
              <w:spacing w:after="0"/>
              <w:rPr>
                <w:sz w:val="20"/>
                <w:szCs w:val="20"/>
                <w:color w:val="auto"/>
              </w:rPr>
            </w:pPr>
          </w:p>
        </w:tc>
        <w:tc>
          <w:tcPr>
            <w:tcW w:w="8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3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2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44"/>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110" w:type="dxa"/>
            <w:vAlign w:val="bottom"/>
          </w:tcPr>
          <w:p>
            <w:pPr>
              <w:spacing w:after="0"/>
              <w:rPr>
                <w:sz w:val="21"/>
                <w:szCs w:val="21"/>
                <w:color w:val="auto"/>
              </w:rPr>
            </w:pPr>
          </w:p>
        </w:tc>
        <w:tc>
          <w:tcPr>
            <w:tcW w:w="12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tcPr>
          <w:p>
            <w:pPr>
              <w:spacing w:after="0"/>
              <w:rPr>
                <w:sz w:val="21"/>
                <w:szCs w:val="21"/>
                <w:color w:val="auto"/>
              </w:rPr>
            </w:pPr>
          </w:p>
        </w:tc>
      </w:tr>
      <w:tr>
        <w:trPr>
          <w:trHeight w:val="245"/>
        </w:trPr>
        <w:tc>
          <w:tcPr>
            <w:tcW w:w="72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Effect of changes in tax laws or rates enacted in the current period</w:t>
            </w:r>
          </w:p>
        </w:tc>
        <w:tc>
          <w:tcPr>
            <w:tcW w:w="110" w:type="dxa"/>
            <w:vAlign w:val="bottom"/>
            <w:shd w:val="clear" w:color="auto" w:fill="D4EFF4"/>
          </w:tcPr>
          <w:p>
            <w:pPr>
              <w:spacing w:after="0"/>
              <w:rPr>
                <w:sz w:val="21"/>
                <w:szCs w:val="21"/>
                <w:color w:val="auto"/>
              </w:rPr>
            </w:pPr>
          </w:p>
        </w:tc>
        <w:tc>
          <w:tcPr>
            <w:tcW w:w="12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shd w:val="clear" w:color="auto" w:fill="D4EFF4"/>
          </w:tcPr>
          <w:p>
            <w:pPr>
              <w:spacing w:after="0"/>
              <w:rPr>
                <w:sz w:val="21"/>
                <w:szCs w:val="21"/>
                <w:color w:val="auto"/>
              </w:rPr>
            </w:pPr>
          </w:p>
        </w:tc>
      </w:tr>
      <w:tr>
        <w:trPr>
          <w:trHeight w:val="244"/>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Tax Credits</w:t>
            </w:r>
          </w:p>
        </w:tc>
        <w:tc>
          <w:tcPr>
            <w:tcW w:w="110" w:type="dxa"/>
            <w:vAlign w:val="bottom"/>
          </w:tcPr>
          <w:p>
            <w:pPr>
              <w:spacing w:after="0"/>
              <w:rPr>
                <w:sz w:val="21"/>
                <w:szCs w:val="21"/>
                <w:color w:val="auto"/>
              </w:rPr>
            </w:pPr>
          </w:p>
        </w:tc>
        <w:tc>
          <w:tcPr>
            <w:tcW w:w="129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4"/>
        </w:trPr>
        <w:tc>
          <w:tcPr>
            <w:tcW w:w="726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Research and development tax credits</w:t>
            </w:r>
          </w:p>
        </w:tc>
        <w:tc>
          <w:tcPr>
            <w:tcW w:w="110" w:type="dxa"/>
            <w:vAlign w:val="bottom"/>
            <w:shd w:val="clear" w:color="auto" w:fill="D4EFF4"/>
          </w:tcPr>
          <w:p>
            <w:pPr>
              <w:spacing w:after="0"/>
              <w:rPr>
                <w:sz w:val="21"/>
                <w:szCs w:val="21"/>
                <w:color w:val="auto"/>
              </w:rPr>
            </w:pPr>
          </w:p>
        </w:tc>
        <w:tc>
          <w:tcPr>
            <w:tcW w:w="129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(2,897</w:t>
            </w: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60" w:type="dxa"/>
            <w:vAlign w:val="bottom"/>
            <w:shd w:val="clear" w:color="auto" w:fill="D4EFF4"/>
          </w:tcPr>
          <w:p>
            <w:pPr>
              <w:spacing w:after="0"/>
              <w:rPr>
                <w:sz w:val="21"/>
                <w:szCs w:val="21"/>
                <w:color w:val="auto"/>
              </w:rPr>
            </w:pPr>
          </w:p>
        </w:tc>
      </w:tr>
      <w:tr>
        <w:trPr>
          <w:trHeight w:val="244"/>
        </w:trPr>
        <w:tc>
          <w:tcPr>
            <w:tcW w:w="726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10" w:type="dxa"/>
            <w:vAlign w:val="bottom"/>
          </w:tcPr>
          <w:p>
            <w:pPr>
              <w:spacing w:after="0"/>
              <w:rPr>
                <w:sz w:val="21"/>
                <w:szCs w:val="21"/>
                <w:color w:val="auto"/>
              </w:rPr>
            </w:pPr>
          </w:p>
        </w:tc>
        <w:tc>
          <w:tcPr>
            <w:tcW w:w="129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16,270</w:t>
            </w:r>
          </w:p>
        </w:tc>
        <w:tc>
          <w:tcPr>
            <w:tcW w:w="100" w:type="dxa"/>
            <w:vAlign w:val="bottom"/>
          </w:tcPr>
          <w:p>
            <w:pPr>
              <w:spacing w:after="0"/>
              <w:rPr>
                <w:sz w:val="21"/>
                <w:szCs w:val="21"/>
                <w:color w:val="auto"/>
              </w:rPr>
            </w:pPr>
          </w:p>
        </w:tc>
        <w:tc>
          <w:tcPr>
            <w:tcW w:w="168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(25.9 )</w:t>
            </w:r>
          </w:p>
        </w:tc>
      </w:tr>
      <w:tr>
        <w:trPr>
          <w:trHeight w:val="245"/>
        </w:trPr>
        <w:tc>
          <w:tcPr>
            <w:tcW w:w="72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10" w:type="dxa"/>
            <w:vAlign w:val="bottom"/>
            <w:shd w:val="clear" w:color="auto" w:fill="D4EFF4"/>
          </w:tcPr>
          <w:p>
            <w:pPr>
              <w:spacing w:after="0"/>
              <w:rPr>
                <w:sz w:val="21"/>
                <w:szCs w:val="21"/>
                <w:color w:val="auto"/>
              </w:rPr>
            </w:pPr>
          </w:p>
        </w:tc>
        <w:tc>
          <w:tcPr>
            <w:tcW w:w="1290" w:type="dxa"/>
            <w:vAlign w:val="bottom"/>
            <w:shd w:val="clear" w:color="auto" w:fill="D4EFF4"/>
          </w:tcPr>
          <w:p>
            <w:pPr>
              <w:spacing w:after="0"/>
              <w:rPr>
                <w:sz w:val="21"/>
                <w:szCs w:val="21"/>
                <w:color w:val="auto"/>
              </w:rPr>
            </w:pPr>
          </w:p>
        </w:tc>
        <w:tc>
          <w:tcPr>
            <w:tcW w:w="10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80" w:type="dxa"/>
            <w:vAlign w:val="bottom"/>
            <w:shd w:val="clear" w:color="auto" w:fill="D4EFF4"/>
          </w:tcPr>
          <w:p>
            <w:pPr>
              <w:spacing w:after="0"/>
              <w:rPr>
                <w:sz w:val="21"/>
                <w:szCs w:val="21"/>
                <w:color w:val="auto"/>
              </w:rPr>
            </w:pPr>
          </w:p>
        </w:tc>
        <w:tc>
          <w:tcPr>
            <w:tcW w:w="20" w:type="dxa"/>
            <w:vAlign w:val="bottom"/>
            <w:shd w:val="clear" w:color="auto" w:fill="D4EFF4"/>
          </w:tcPr>
          <w:p>
            <w:pPr>
              <w:spacing w:after="0"/>
              <w:rPr>
                <w:sz w:val="21"/>
                <w:szCs w:val="21"/>
                <w:color w:val="auto"/>
              </w:rPr>
            </w:pPr>
          </w:p>
        </w:tc>
        <w:tc>
          <w:tcPr>
            <w:tcW w:w="1300" w:type="dxa"/>
            <w:vAlign w:val="bottom"/>
            <w:shd w:val="clear" w:color="auto" w:fill="D4EFF4"/>
          </w:tcPr>
          <w:p>
            <w:pPr>
              <w:spacing w:after="0"/>
              <w:rPr>
                <w:sz w:val="21"/>
                <w:szCs w:val="21"/>
                <w:color w:val="auto"/>
              </w:rPr>
            </w:pPr>
          </w:p>
        </w:tc>
        <w:tc>
          <w:tcPr>
            <w:tcW w:w="260" w:type="dxa"/>
            <w:vAlign w:val="bottom"/>
            <w:shd w:val="clear" w:color="auto" w:fill="D4EFF4"/>
          </w:tcPr>
          <w:p>
            <w:pPr>
              <w:spacing w:after="0"/>
              <w:rPr>
                <w:sz w:val="21"/>
                <w:szCs w:val="21"/>
                <w:color w:val="auto"/>
              </w:rPr>
            </w:pPr>
          </w:p>
        </w:tc>
      </w:tr>
      <w:tr>
        <w:trPr>
          <w:trHeight w:val="244"/>
        </w:trPr>
        <w:tc>
          <w:tcPr>
            <w:tcW w:w="72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110" w:type="dxa"/>
            <w:vAlign w:val="bottom"/>
          </w:tcPr>
          <w:p>
            <w:pPr>
              <w:spacing w:after="0"/>
              <w:rPr>
                <w:sz w:val="21"/>
                <w:szCs w:val="21"/>
                <w:color w:val="auto"/>
              </w:rPr>
            </w:pPr>
          </w:p>
        </w:tc>
        <w:tc>
          <w:tcPr>
            <w:tcW w:w="139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(184 )</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260" w:type="dxa"/>
            <w:vAlign w:val="bottom"/>
          </w:tcPr>
          <w:p>
            <w:pPr>
              <w:spacing w:after="0"/>
              <w:rPr>
                <w:sz w:val="21"/>
                <w:szCs w:val="21"/>
                <w:color w:val="auto"/>
              </w:rPr>
            </w:pPr>
          </w:p>
        </w:tc>
      </w:tr>
      <w:tr>
        <w:trPr>
          <w:trHeight w:val="236"/>
        </w:trPr>
        <w:tc>
          <w:tcPr>
            <w:tcW w:w="7260" w:type="dxa"/>
            <w:vAlign w:val="bottom"/>
            <w:tcBorders>
              <w:top w:val="single" w:sz="8" w:color="D4EFF4"/>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1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9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top w:val="single" w:sz="8" w:color="auto"/>
              <w:bottom w:val="single" w:sz="8" w:color="auto"/>
            </w:tcBorders>
            <w:shd w:val="clear" w:color="auto" w:fill="D4EFF4"/>
          </w:tcPr>
          <w:p>
            <w:pPr>
              <w:spacing w:after="0"/>
              <w:rPr>
                <w:sz w:val="20"/>
                <w:szCs w:val="20"/>
                <w:color w:val="auto"/>
              </w:rPr>
            </w:pPr>
          </w:p>
        </w:tc>
        <w:tc>
          <w:tcPr>
            <w:tcW w:w="20" w:type="dxa"/>
            <w:vAlign w:val="bottom"/>
            <w:tcBorders>
              <w:top w:val="single" w:sz="8" w:color="auto"/>
              <w:bottom w:val="single" w:sz="8" w:color="auto"/>
            </w:tcBorders>
            <w:shd w:val="clear" w:color="auto" w:fill="D4EFF4"/>
          </w:tcPr>
          <w:p>
            <w:pPr>
              <w:spacing w:after="0"/>
              <w:rPr>
                <w:sz w:val="20"/>
                <w:szCs w:val="20"/>
                <w:color w:val="auto"/>
              </w:rPr>
            </w:pPr>
          </w:p>
        </w:tc>
        <w:tc>
          <w:tcPr>
            <w:tcW w:w="80" w:type="dxa"/>
            <w:vAlign w:val="bottom"/>
            <w:tcBorders>
              <w:top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auto"/>
            </w:tcBorders>
            <w:shd w:val="clear" w:color="auto" w:fill="D4EFF4"/>
          </w:tcPr>
          <w:p>
            <w:pPr>
              <w:spacing w:after="0"/>
              <w:rPr>
                <w:sz w:val="20"/>
                <w:szCs w:val="20"/>
                <w:color w:val="auto"/>
              </w:rPr>
            </w:pPr>
          </w:p>
        </w:tc>
        <w:tc>
          <w:tcPr>
            <w:tcW w:w="1300" w:type="dxa"/>
            <w:vAlign w:val="bottom"/>
            <w:tcBorders>
              <w:top w:val="single" w:sz="8" w:color="auto"/>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260" w:type="dxa"/>
            <w:vAlign w:val="bottom"/>
            <w:tcBorders>
              <w:top w:val="single" w:sz="8" w:color="auto"/>
              <w:bottom w:val="single" w:sz="8" w:color="auto"/>
            </w:tcBorders>
            <w:shd w:val="clear" w:color="auto" w:fill="D4EFF4"/>
          </w:tcPr>
          <w:p>
            <w:pPr>
              <w:spacing w:after="0"/>
              <w:rPr>
                <w:sz w:val="20"/>
                <w:szCs w:val="20"/>
                <w:color w:val="auto"/>
              </w:rPr>
            </w:pPr>
            <w:r>
              <w:rPr>
                <w:rFonts w:ascii="Times New Roman" w:cs="Times New Roman" w:eastAsia="Times New Roman" w:hAnsi="Times New Roman"/>
                <w:sz w:val="20"/>
                <w:szCs w:val="20"/>
                <w:color w:val="auto"/>
                <w:shd w:val="clear" w:color="auto" w:fill="D4EFF4"/>
              </w:rPr>
              <w:t>)%</w:t>
            </w:r>
          </w:p>
        </w:tc>
      </w:tr>
      <w:tr>
        <w:trPr>
          <w:trHeight w:val="20"/>
        </w:trPr>
        <w:tc>
          <w:tcPr>
            <w:tcW w:w="7260" w:type="dxa"/>
            <w:vAlign w:val="bottom"/>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29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20"/>
          <w:szCs w:val="20"/>
          <w:color w:val="auto"/>
        </w:rPr>
        <w:t>The Company's effective tax rate does not include any impact from state and local income taxes as the Company has been in losses since inception.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significant components of the Company’s deferred tax assets and liabilities are summarized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60" w:type="dxa"/>
            <w:vAlign w:val="bottom"/>
            <w:tcBorders>
              <w:bottom w:val="single" w:sz="8" w:color="auto"/>
            </w:tcBorders>
            <w:gridSpan w:val="8"/>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93"/>
        </w:trPr>
        <w:tc>
          <w:tcPr>
            <w:tcW w:w="6360" w:type="dxa"/>
            <w:vAlign w:val="bottom"/>
            <w:tcBorders>
              <w:bottom w:val="single" w:sz="8" w:color="D4EFF4"/>
            </w:tcBorders>
          </w:tcPr>
          <w:p>
            <w:pPr>
              <w:spacing w:after="0"/>
              <w:rPr>
                <w:sz w:val="16"/>
                <w:szCs w:val="16"/>
                <w:color w:val="auto"/>
              </w:rPr>
            </w:pPr>
          </w:p>
        </w:tc>
        <w:tc>
          <w:tcPr>
            <w:tcW w:w="90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9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8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30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1020" w:type="dxa"/>
            <w:vAlign w:val="bottom"/>
            <w:tcBorders>
              <w:bottom w:val="single" w:sz="8" w:color="D4EFF4"/>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19,917</w:t>
            </w:r>
          </w:p>
        </w:tc>
        <w:tc>
          <w:tcPr>
            <w:tcW w:w="100" w:type="dxa"/>
            <w:vAlign w:val="bottom"/>
            <w:tcBorders>
              <w:bottom w:val="single" w:sz="8" w:color="D4EFF4"/>
            </w:tcBorders>
          </w:tcPr>
          <w:p>
            <w:pPr>
              <w:spacing w:after="0"/>
              <w:rPr>
                <w:sz w:val="21"/>
                <w:szCs w:val="21"/>
                <w:color w:val="auto"/>
              </w:rPr>
            </w:pPr>
          </w:p>
        </w:tc>
        <w:tc>
          <w:tcPr>
            <w:tcW w:w="260" w:type="dxa"/>
            <w:vAlign w:val="bottom"/>
            <w:tcBorders>
              <w:bottom w:val="single" w:sz="8" w:color="D4EFF4"/>
            </w:tcBorders>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10,994</w:t>
            </w:r>
          </w:p>
        </w:tc>
        <w:tc>
          <w:tcPr>
            <w:tcW w:w="12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Research and development tax credit carryforward</w:t>
            </w:r>
          </w:p>
        </w:tc>
        <w:tc>
          <w:tcPr>
            <w:tcW w:w="9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6,616</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3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3,754</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63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9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3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501</w:t>
            </w:r>
          </w:p>
        </w:tc>
        <w:tc>
          <w:tcPr>
            <w:tcW w:w="12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D4EFF4"/>
          </w:tcPr>
          <w:p>
            <w:pPr>
              <w:ind w:left="100"/>
              <w:spacing w:after="0" w:line="224" w:lineRule="exact"/>
              <w:rPr>
                <w:sz w:val="20"/>
                <w:szCs w:val="20"/>
                <w:color w:val="auto"/>
              </w:rPr>
            </w:pPr>
            <w:r>
              <w:rPr>
                <w:rFonts w:ascii="Times New Roman" w:cs="Times New Roman" w:eastAsia="Times New Roman" w:hAnsi="Times New Roman"/>
                <w:sz w:val="20"/>
                <w:szCs w:val="20"/>
                <w:color w:val="auto"/>
              </w:rPr>
              <w:t>Accrued expenses</w:t>
            </w:r>
          </w:p>
        </w:tc>
        <w:tc>
          <w:tcPr>
            <w:tcW w:w="9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1,118</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3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705</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Stock-based compensation</w:t>
            </w:r>
          </w:p>
        </w:tc>
        <w:tc>
          <w:tcPr>
            <w:tcW w:w="9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3,828</w:t>
            </w:r>
          </w:p>
        </w:tc>
        <w:tc>
          <w:tcPr>
            <w:tcW w:w="10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80" w:type="dxa"/>
            <w:vAlign w:val="bottom"/>
            <w:tcBorders>
              <w:bottom w:val="single" w:sz="8" w:color="D4EFF4"/>
            </w:tcBorders>
          </w:tcPr>
          <w:p>
            <w:pPr>
              <w:spacing w:after="0"/>
              <w:rPr>
                <w:sz w:val="21"/>
                <w:szCs w:val="21"/>
                <w:color w:val="auto"/>
              </w:rPr>
            </w:pPr>
          </w:p>
        </w:tc>
        <w:tc>
          <w:tcPr>
            <w:tcW w:w="13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2,261</w:t>
            </w:r>
          </w:p>
        </w:tc>
        <w:tc>
          <w:tcPr>
            <w:tcW w:w="120" w:type="dxa"/>
            <w:vAlign w:val="bottom"/>
            <w:tcBorders>
              <w:bottom w:val="single" w:sz="8" w:color="D4EFF4"/>
            </w:tcBorders>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Capitalized research and development expense</w:t>
            </w:r>
          </w:p>
        </w:tc>
        <w:tc>
          <w:tcPr>
            <w:tcW w:w="9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56,357</w:t>
            </w: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3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25,525</w:t>
            </w:r>
          </w:p>
        </w:tc>
        <w:tc>
          <w:tcPr>
            <w:tcW w:w="120" w:type="dxa"/>
            <w:vAlign w:val="bottom"/>
            <w:shd w:val="clear" w:color="auto" w:fill="D4EFF4"/>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Amortization of acquired IPR&amp;D</w:t>
            </w:r>
          </w:p>
        </w:tc>
        <w:tc>
          <w:tcPr>
            <w:tcW w:w="9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15,928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17,412</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360" w:type="dxa"/>
            <w:vAlign w:val="bottom"/>
            <w:tcBorders>
              <w:top w:val="single" w:sz="8" w:color="D4EFF4"/>
            </w:tcBorders>
            <w:shd w:val="clear" w:color="auto" w:fill="D4EFF4"/>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deferred tax assets before valuation allowance</w:t>
            </w:r>
          </w:p>
        </w:tc>
        <w:tc>
          <w:tcPr>
            <w:tcW w:w="9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12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104,111</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80" w:type="dxa"/>
            <w:vAlign w:val="bottom"/>
            <w:tcBorders>
              <w:top w:val="single" w:sz="8" w:color="D4EFF4"/>
            </w:tcBorders>
            <w:shd w:val="clear" w:color="auto" w:fill="D4EFF4"/>
          </w:tcPr>
          <w:p>
            <w:pPr>
              <w:spacing w:after="0"/>
              <w:rPr>
                <w:sz w:val="18"/>
                <w:szCs w:val="18"/>
                <w:color w:val="auto"/>
              </w:rPr>
            </w:pPr>
          </w:p>
        </w:tc>
        <w:tc>
          <w:tcPr>
            <w:tcW w:w="13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61,152</w:t>
            </w:r>
          </w:p>
        </w:tc>
        <w:tc>
          <w:tcPr>
            <w:tcW w:w="12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63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Valuation allowance</w:t>
            </w:r>
          </w:p>
        </w:tc>
        <w:tc>
          <w:tcPr>
            <w:tcW w:w="9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(103,632 )</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(60,664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89"/>
              </w:rPr>
              <w:t>)</w:t>
            </w:r>
          </w:p>
        </w:tc>
        <w:tc>
          <w:tcPr>
            <w:tcW w:w="0" w:type="dxa"/>
            <w:vAlign w:val="bottom"/>
          </w:tcPr>
          <w:p>
            <w:pPr>
              <w:spacing w:after="0"/>
              <w:rPr>
                <w:sz w:val="1"/>
                <w:szCs w:val="1"/>
                <w:color w:val="auto"/>
              </w:rPr>
            </w:pPr>
          </w:p>
        </w:tc>
      </w:tr>
      <w:tr>
        <w:trPr>
          <w:trHeight w:val="214"/>
        </w:trPr>
        <w:tc>
          <w:tcPr>
            <w:tcW w:w="6360" w:type="dxa"/>
            <w:vAlign w:val="bottom"/>
            <w:tcBorders>
              <w:top w:val="single" w:sz="8" w:color="D4EFF4"/>
            </w:tcBorders>
            <w:shd w:val="clear" w:color="auto" w:fill="D4EFF4"/>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deferred tax assets - net of valuation allowance</w:t>
            </w:r>
          </w:p>
        </w:tc>
        <w:tc>
          <w:tcPr>
            <w:tcW w:w="9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2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479</w:t>
            </w:r>
          </w:p>
        </w:tc>
        <w:tc>
          <w:tcPr>
            <w:tcW w:w="1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gridSpan w:val="2"/>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488</w:t>
            </w:r>
          </w:p>
        </w:tc>
        <w:tc>
          <w:tcPr>
            <w:tcW w:w="120" w:type="dxa"/>
            <w:vAlign w:val="bottom"/>
            <w:tcBorders>
              <w:top w:val="single" w:sz="8" w:color="D4EFF4"/>
            </w:tcBorders>
            <w:shd w:val="clear" w:color="auto" w:fill="D4EFF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360" w:type="dxa"/>
            <w:vAlign w:val="bottom"/>
            <w:tcBorders>
              <w:bottom w:val="single" w:sz="8" w:color="D4EFF4"/>
            </w:tcBorders>
            <w:vMerge w:val="continue"/>
          </w:tcPr>
          <w:p>
            <w:pPr>
              <w:spacing w:after="0"/>
              <w:rPr>
                <w:sz w:val="19"/>
                <w:szCs w:val="19"/>
                <w:color w:val="auto"/>
              </w:rPr>
            </w:pPr>
          </w:p>
        </w:tc>
        <w:tc>
          <w:tcPr>
            <w:tcW w:w="9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1280" w:type="dxa"/>
            <w:vAlign w:val="bottom"/>
            <w:tcBorders>
              <w:bottom w:val="single" w:sz="8" w:color="D4EFF4"/>
            </w:tcBorders>
          </w:tcPr>
          <w:p>
            <w:pPr>
              <w:spacing w:after="0"/>
              <w:rPr>
                <w:sz w:val="19"/>
                <w:szCs w:val="19"/>
                <w:color w:val="auto"/>
              </w:rPr>
            </w:pPr>
          </w:p>
        </w:tc>
        <w:tc>
          <w:tcPr>
            <w:tcW w:w="10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140" w:type="dxa"/>
            <w:vAlign w:val="bottom"/>
            <w:tcBorders>
              <w:bottom w:val="single" w:sz="8" w:color="D4EFF4"/>
            </w:tcBorders>
          </w:tcPr>
          <w:p>
            <w:pPr>
              <w:spacing w:after="0"/>
              <w:rPr>
                <w:sz w:val="19"/>
                <w:szCs w:val="19"/>
                <w:color w:val="auto"/>
              </w:rPr>
            </w:pPr>
          </w:p>
        </w:tc>
        <w:tc>
          <w:tcPr>
            <w:tcW w:w="20" w:type="dxa"/>
            <w:vAlign w:val="bottom"/>
            <w:tcBorders>
              <w:bottom w:val="single" w:sz="8" w:color="D4EFF4"/>
            </w:tcBorders>
          </w:tcPr>
          <w:p>
            <w:pPr>
              <w:spacing w:after="0"/>
              <w:rPr>
                <w:sz w:val="19"/>
                <w:szCs w:val="19"/>
                <w:color w:val="auto"/>
              </w:rPr>
            </w:pPr>
          </w:p>
        </w:tc>
        <w:tc>
          <w:tcPr>
            <w:tcW w:w="80" w:type="dxa"/>
            <w:vAlign w:val="bottom"/>
            <w:tcBorders>
              <w:bottom w:val="single" w:sz="8" w:color="D4EFF4"/>
            </w:tcBorders>
          </w:tcPr>
          <w:p>
            <w:pPr>
              <w:spacing w:after="0"/>
              <w:rPr>
                <w:sz w:val="19"/>
                <w:szCs w:val="19"/>
                <w:color w:val="auto"/>
              </w:rPr>
            </w:pPr>
          </w:p>
        </w:tc>
        <w:tc>
          <w:tcPr>
            <w:tcW w:w="1300" w:type="dxa"/>
            <w:vAlign w:val="bottom"/>
            <w:tcBorders>
              <w:bottom w:val="single" w:sz="8" w:color="D4EFF4"/>
            </w:tcBorders>
          </w:tcPr>
          <w:p>
            <w:pPr>
              <w:spacing w:after="0"/>
              <w:rPr>
                <w:sz w:val="19"/>
                <w:szCs w:val="19"/>
                <w:color w:val="auto"/>
              </w:rPr>
            </w:pPr>
          </w:p>
        </w:tc>
        <w:tc>
          <w:tcPr>
            <w:tcW w:w="120" w:type="dxa"/>
            <w:vAlign w:val="bottom"/>
            <w:tcBorders>
              <w:bottom w:val="single" w:sz="8" w:color="D4EFF4"/>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D4EFF4"/>
          </w:tcPr>
          <w:p>
            <w:pPr>
              <w:ind w:left="100"/>
              <w:spacing w:after="0" w:line="225" w:lineRule="exact"/>
              <w:rPr>
                <w:sz w:val="20"/>
                <w:szCs w:val="20"/>
                <w:color w:val="auto"/>
              </w:rPr>
            </w:pPr>
            <w:r>
              <w:rPr>
                <w:rFonts w:ascii="Times New Roman" w:cs="Times New Roman" w:eastAsia="Times New Roman" w:hAnsi="Times New Roman"/>
                <w:sz w:val="20"/>
                <w:szCs w:val="20"/>
                <w:color w:val="auto"/>
              </w:rPr>
              <w:t>ROU asset</w:t>
            </w:r>
          </w:p>
        </w:tc>
        <w:tc>
          <w:tcPr>
            <w:tcW w:w="9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(334</w:t>
            </w:r>
          </w:p>
        </w:tc>
        <w:tc>
          <w:tcPr>
            <w:tcW w:w="1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80" w:type="dxa"/>
            <w:vAlign w:val="bottom"/>
            <w:shd w:val="clear" w:color="auto" w:fill="D4EFF4"/>
          </w:tcPr>
          <w:p>
            <w:pPr>
              <w:spacing w:after="0"/>
              <w:rPr>
                <w:sz w:val="19"/>
                <w:szCs w:val="19"/>
                <w:color w:val="auto"/>
              </w:rPr>
            </w:pPr>
          </w:p>
        </w:tc>
        <w:tc>
          <w:tcPr>
            <w:tcW w:w="13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(488</w:t>
            </w:r>
          </w:p>
        </w:tc>
        <w:tc>
          <w:tcPr>
            <w:tcW w:w="12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69"/>
        </w:trPr>
        <w:tc>
          <w:tcPr>
            <w:tcW w:w="6360" w:type="dxa"/>
            <w:vAlign w:val="bottom"/>
            <w:tcBorders>
              <w:bottom w:val="single" w:sz="8" w:color="D4EFF4"/>
            </w:tcBorders>
          </w:tcPr>
          <w:p>
            <w:pPr>
              <w:ind w:left="100"/>
              <w:spacing w:after="0"/>
              <w:rPr>
                <w:sz w:val="20"/>
                <w:szCs w:val="20"/>
                <w:color w:val="auto"/>
              </w:rPr>
            </w:pPr>
            <w:r>
              <w:rPr>
                <w:rFonts w:ascii="Times New Roman" w:cs="Times New Roman" w:eastAsia="Times New Roman" w:hAnsi="Times New Roman"/>
                <w:sz w:val="20"/>
                <w:szCs w:val="20"/>
                <w:color w:val="auto"/>
              </w:rPr>
              <w:t>Other</w:t>
            </w:r>
          </w:p>
        </w:tc>
        <w:tc>
          <w:tcPr>
            <w:tcW w:w="90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(145 )</w:t>
            </w: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6360" w:type="dxa"/>
            <w:vAlign w:val="bottom"/>
            <w:tcBorders>
              <w:top w:val="single" w:sz="8" w:color="D4EFF4"/>
            </w:tcBorders>
            <w:shd w:val="clear" w:color="auto" w:fill="D4EFF4"/>
          </w:tcPr>
          <w:p>
            <w:pPr>
              <w:ind w:left="200"/>
              <w:spacing w:after="0" w:line="214"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90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D4EFF4"/>
              </w:rPr>
              <w:t>$</w:t>
            </w:r>
          </w:p>
        </w:tc>
        <w:tc>
          <w:tcPr>
            <w:tcW w:w="12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(479</w:t>
            </w:r>
          </w:p>
        </w:tc>
        <w:tc>
          <w:tcPr>
            <w:tcW w:w="1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gridSpan w:val="2"/>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(488</w:t>
            </w:r>
          </w:p>
        </w:tc>
        <w:tc>
          <w:tcPr>
            <w:tcW w:w="12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0" w:type="dxa"/>
            <w:vAlign w:val="bottom"/>
          </w:tcPr>
          <w:p>
            <w:pPr>
              <w:spacing w:after="0"/>
              <w:rPr>
                <w:sz w:val="1"/>
                <w:szCs w:val="1"/>
                <w:color w:val="auto"/>
              </w:rPr>
            </w:pPr>
          </w:p>
        </w:tc>
      </w:tr>
      <w:tr>
        <w:trPr>
          <w:trHeight w:val="236"/>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 (liability)</w:t>
            </w:r>
          </w:p>
        </w:tc>
        <w:tc>
          <w:tcPr>
            <w:tcW w:w="920" w:type="dxa"/>
            <w:vAlign w:val="bottom"/>
            <w:gridSpan w:val="2"/>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top w:val="single" w:sz="8" w:color="auto"/>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-2091690</wp:posOffset>
                </wp:positionV>
                <wp:extent cx="6619875"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64.6999pt" to="521.6pt,-164.6999pt" o:allowincell="f" strokecolor="#FFFFFF" strokeweight="0.72pt"/>
            </w:pict>
          </mc:Fallback>
        </mc:AlternateContent>
      </w:r>
    </w:p>
    <w:p>
      <w:pPr>
        <w:spacing w:after="0" w:line="120"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As of December 31, 2025, the Company had federal and state net operating loss (“NOLs”) carryforwards of $66.9 million and $92.9 million, respectively. As of December 31, 2024, the Company had federal and state NOLs carryforwards of $37.6 million and $49.1 million, respectively. The federal NOLs are not subject to expiration and are limited in utilization to 80% of taxable income and the state NOLs begin to expire in 2041. The Company also has federal and state research and development credits of $5.7 million and $1.2 million, respectively, which will, if not utilized, begin to expire in 2043 and 2037, respectively.</w:t>
      </w:r>
    </w:p>
    <w:p>
      <w:pPr>
        <w:spacing w:after="0" w:line="117"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20"/>
          <w:szCs w:val="20"/>
          <w:color w:val="auto"/>
        </w:rPr>
        <w:t>Management of the Company has evaluated the positive and negative evidence bearing upon the realizability of its deferred tax assets. Under the applicable accounting standards, management has considered the Company’s history of losses and concluded that it is more likely than not that the Company will not recognize the benefits of its federal and state deferred tax assets.</w:t>
      </w:r>
    </w:p>
    <w:p>
      <w:pPr>
        <w:spacing w:after="0" w:line="2" w:lineRule="exact"/>
        <w:rPr>
          <w:sz w:val="20"/>
          <w:szCs w:val="20"/>
          <w:color w:val="auto"/>
        </w:rPr>
      </w:pPr>
    </w:p>
    <w:p>
      <w:pPr>
        <w:ind w:right="280"/>
        <w:spacing w:after="0" w:line="248" w:lineRule="auto"/>
        <w:rPr>
          <w:sz w:val="20"/>
          <w:szCs w:val="20"/>
          <w:color w:val="auto"/>
        </w:rPr>
      </w:pPr>
      <w:r>
        <w:rPr>
          <w:rFonts w:ascii="Times New Roman" w:cs="Times New Roman" w:eastAsia="Times New Roman" w:hAnsi="Times New Roman"/>
          <w:sz w:val="20"/>
          <w:szCs w:val="20"/>
          <w:color w:val="auto"/>
        </w:rPr>
        <w:t>Accordingly, a full valuation allowance of $103.6 million and $60.7 million has been established as of December 31, 2025 and 2024, respectively.</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10440"/>
          </w:cols>
          <w:pgMar w:left="900" w:top="696" w:right="900" w:bottom="187" w:gutter="0" w:footer="0" w:header="0"/>
          <w:type w:val="continuous"/>
        </w:sectPr>
      </w:pPr>
    </w:p>
    <w:bookmarkStart w:id="154" w:name="page155"/>
    <w:bookmarkEnd w:id="154"/>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0"/>
          <w:szCs w:val="20"/>
          <w:color w:val="auto"/>
        </w:rPr>
        <w:t>Changes in valuation allowance for deferred tax assets during the years ended December 31, 2025 and 2024 related primarily to the increase in NOL carryforwards and research and development tax credit carryforwards, offset by amortization of acquired IPR&amp;D in 2025 and were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4"/>
        </w:trPr>
        <w:tc>
          <w:tcPr>
            <w:tcW w:w="72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7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 w:type="dxa"/>
            <w:vAlign w:val="bottom"/>
            <w:tcBorders>
              <w:bottom w:val="single" w:sz="8" w:color="auto"/>
            </w:tcBorders>
          </w:tcPr>
          <w:p>
            <w:pPr>
              <w:spacing w:after="0"/>
              <w:rPr>
                <w:sz w:val="20"/>
                <w:szCs w:val="20"/>
                <w:color w:val="auto"/>
              </w:rPr>
            </w:pPr>
          </w:p>
        </w:tc>
        <w:tc>
          <w:tcPr>
            <w:tcW w:w="22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1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0" w:type="dxa"/>
            <w:vAlign w:val="bottom"/>
            <w:tcBorders>
              <w:bottom w:val="single" w:sz="8" w:color="auto"/>
            </w:tcBorders>
          </w:tcPr>
          <w:p>
            <w:pPr>
              <w:spacing w:after="0"/>
              <w:rPr>
                <w:sz w:val="20"/>
                <w:szCs w:val="20"/>
                <w:color w:val="auto"/>
              </w:rPr>
            </w:pPr>
          </w:p>
        </w:tc>
      </w:tr>
      <w:tr>
        <w:trPr>
          <w:trHeight w:val="233"/>
        </w:trPr>
        <w:tc>
          <w:tcPr>
            <w:tcW w:w="72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Valuation allowance at beginning of year</w:t>
            </w:r>
          </w:p>
        </w:tc>
        <w:tc>
          <w:tcPr>
            <w:tcW w:w="20" w:type="dxa"/>
            <w:vAlign w:val="bottom"/>
            <w:shd w:val="clear" w:color="auto" w:fill="D4EFF4"/>
          </w:tcPr>
          <w:p>
            <w:pPr>
              <w:spacing w:after="0"/>
              <w:rPr>
                <w:sz w:val="20"/>
                <w:szCs w:val="20"/>
                <w:color w:val="auto"/>
              </w:rPr>
            </w:pPr>
          </w:p>
        </w:tc>
        <w:tc>
          <w:tcPr>
            <w:tcW w:w="10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7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(60,664</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20" w:type="dxa"/>
            <w:vAlign w:val="bottom"/>
            <w:shd w:val="clear" w:color="auto" w:fill="D4EFF4"/>
          </w:tcPr>
          <w:p>
            <w:pPr>
              <w:spacing w:after="0"/>
              <w:rPr>
                <w:sz w:val="20"/>
                <w:szCs w:val="20"/>
                <w:color w:val="auto"/>
              </w:rPr>
            </w:pPr>
          </w:p>
        </w:tc>
        <w:tc>
          <w:tcPr>
            <w:tcW w:w="20" w:type="dxa"/>
            <w:vAlign w:val="bottom"/>
            <w:shd w:val="clear" w:color="auto" w:fill="D4EFF4"/>
          </w:tcPr>
          <w:p>
            <w:pPr>
              <w:spacing w:after="0"/>
              <w:rPr>
                <w:sz w:val="20"/>
                <w:szCs w:val="20"/>
                <w:color w:val="auto"/>
              </w:rPr>
            </w:pP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6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(39,695</w:t>
            </w:r>
          </w:p>
        </w:tc>
        <w:tc>
          <w:tcPr>
            <w:tcW w:w="110" w:type="dxa"/>
            <w:vAlign w:val="bottom"/>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45"/>
        </w:trPr>
        <w:tc>
          <w:tcPr>
            <w:tcW w:w="722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Increases recorded to income tax provision</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7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(42,968</w:t>
            </w: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c>
          <w:tcPr>
            <w:tcW w:w="22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1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(20,969</w:t>
            </w:r>
          </w:p>
        </w:tc>
        <w:tc>
          <w:tcPr>
            <w:tcW w:w="1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highlight w:val="white"/>
                <w:w w:val="74"/>
              </w:rPr>
              <w:t>)</w:t>
            </w:r>
          </w:p>
        </w:tc>
      </w:tr>
      <w:tr>
        <w:trPr>
          <w:trHeight w:val="234"/>
        </w:trPr>
        <w:tc>
          <w:tcPr>
            <w:tcW w:w="72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Valuation allowance at end of year</w:t>
            </w:r>
          </w:p>
        </w:tc>
        <w:tc>
          <w:tcPr>
            <w:tcW w:w="20" w:type="dxa"/>
            <w:vAlign w:val="bottom"/>
            <w:tcBorders>
              <w:bottom w:val="single" w:sz="8" w:color="auto"/>
            </w:tcBorders>
            <w:shd w:val="clear" w:color="auto" w:fill="D4EFF4"/>
          </w:tcPr>
          <w:p>
            <w:pPr>
              <w:spacing w:after="0"/>
              <w:rPr>
                <w:sz w:val="20"/>
                <w:szCs w:val="20"/>
                <w:color w:val="auto"/>
              </w:rPr>
            </w:pP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7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(103,632</w:t>
            </w: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c>
          <w:tcPr>
            <w:tcW w:w="22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6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(60,664</w:t>
            </w:r>
          </w:p>
        </w:tc>
        <w:tc>
          <w:tcPr>
            <w:tcW w:w="11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16"/>
                <w:szCs w:val="16"/>
                <w:color w:val="auto"/>
                <w:w w:val="74"/>
                <w:shd w:val="clear" w:color="auto" w:fill="D4EFF4"/>
              </w:rPr>
              <w:t>)</w:t>
            </w:r>
          </w:p>
        </w:tc>
      </w:tr>
      <w:tr>
        <w:trPr>
          <w:trHeight w:val="20"/>
        </w:trPr>
        <w:tc>
          <w:tcPr>
            <w:tcW w:w="7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7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1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-339725</wp:posOffset>
                </wp:positionV>
                <wp:extent cx="6619875"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6.7499pt" to="521.6pt,-26.7499pt" o:allowincell="f" strokecolor="#FFFFFF" strokeweight="0.72pt"/>
            </w:pict>
          </mc:Fallback>
        </mc:AlternateContent>
      </w:r>
    </w:p>
    <w:p>
      <w:pPr>
        <w:spacing w:after="0" w:line="12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Utilization of the NOL and research and development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completed a study to assess whether a change of ownership has occurred, or whether there have been multiple ownership changes since its formation, due to the significant cost and complexity associated with a study. There could also be additional ownership changes in the future which may result in additional limitations on the utilization of NOL carryforwards and credits.</w:t>
      </w:r>
    </w:p>
    <w:p>
      <w:pPr>
        <w:spacing w:after="0" w:line="120"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20"/>
          <w:szCs w:val="20"/>
          <w:color w:val="auto"/>
        </w:rPr>
        <w:t>As of December 31, 2025, the Company has not recorded any amounts for uncertain tax positions. The Company’s policy is to recognize interest and penalties accrued on any uncertain tax positions as a component of income tax expense, if any, in its consolidated statements of operations and comprehensive loss. For the years ended December 31, 2025 and 2024, no estimated interest or penalties were recognized on uncertain tax positions.</w:t>
      </w:r>
    </w:p>
    <w:p>
      <w:pPr>
        <w:spacing w:after="0" w:line="11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Company’s tax years are still open under statute from December 31, 2021, to the present. Earlier years may be examined to the extent that tax credit or net operating loss carryforwards are used in future periods. The resolution of tax matters is not expected to have a material effect on the Company's consolidated financial statements.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does not pay income taxes at the federal or state level as it has been in losses since inception.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Net loss per share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Basic and diluted net loss per share attributable to common stockholders was calculated as follows (dollar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8"/>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88"/>
        </w:trPr>
        <w:tc>
          <w:tcPr>
            <w:tcW w:w="6980" w:type="dxa"/>
            <w:vAlign w:val="bottom"/>
            <w:tcBorders>
              <w:bottom w:val="single" w:sz="8" w:color="D4EFF4"/>
            </w:tcBorders>
          </w:tcPr>
          <w:p>
            <w:pPr>
              <w:spacing w:after="0"/>
              <w:rPr>
                <w:sz w:val="16"/>
                <w:szCs w:val="16"/>
                <w:color w:val="auto"/>
              </w:rPr>
            </w:pPr>
          </w:p>
        </w:tc>
        <w:tc>
          <w:tcPr>
            <w:tcW w:w="16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D4EFF4"/>
            </w:tcBorders>
          </w:tcPr>
          <w:p>
            <w:pPr>
              <w:spacing w:after="0"/>
              <w:rPr>
                <w:sz w:val="16"/>
                <w:szCs w:val="16"/>
                <w:color w:val="auto"/>
              </w:rPr>
            </w:pPr>
          </w:p>
        </w:tc>
        <w:tc>
          <w:tcPr>
            <w:tcW w:w="20" w:type="dxa"/>
            <w:vAlign w:val="bottom"/>
            <w:tcBorders>
              <w:bottom w:val="single" w:sz="8" w:color="D4EFF4"/>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16"/>
                <w:szCs w:val="16"/>
                <w:color w:val="auto"/>
              </w:rPr>
            </w:pPr>
          </w:p>
        </w:tc>
      </w:tr>
      <w:tr>
        <w:trPr>
          <w:trHeight w:val="224"/>
        </w:trPr>
        <w:tc>
          <w:tcPr>
            <w:tcW w:w="698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Numerator:</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69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(143,443 )</w:t>
            </w:r>
          </w:p>
        </w:tc>
        <w:tc>
          <w:tcPr>
            <w:tcW w:w="30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(62,806 )</w:t>
            </w:r>
          </w:p>
        </w:tc>
      </w:tr>
      <w:tr>
        <w:trPr>
          <w:trHeight w:val="265"/>
        </w:trPr>
        <w:tc>
          <w:tcPr>
            <w:tcW w:w="6980" w:type="dxa"/>
            <w:vAlign w:val="bottom"/>
            <w:tcBorders>
              <w:bottom w:val="single" w:sz="8" w:color="D4EFF4"/>
            </w:tcBorders>
            <w:shd w:val="clear" w:color="auto" w:fill="D4EFF4"/>
          </w:tcPr>
          <w:p>
            <w:pPr>
              <w:ind w:left="400"/>
              <w:spacing w:after="0"/>
              <w:rPr>
                <w:sz w:val="20"/>
                <w:szCs w:val="20"/>
                <w:color w:val="auto"/>
              </w:rPr>
            </w:pPr>
            <w:r>
              <w:rPr>
                <w:rFonts w:ascii="Times New Roman" w:cs="Times New Roman" w:eastAsia="Times New Roman" w:hAnsi="Times New Roman"/>
                <w:sz w:val="20"/>
                <w:szCs w:val="20"/>
                <w:color w:val="auto"/>
              </w:rPr>
              <w:t>Preferred Stock cumulative dividends</w:t>
            </w:r>
          </w:p>
        </w:tc>
        <w:tc>
          <w:tcPr>
            <w:tcW w:w="16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3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auto"/>
            </w:tcBorders>
            <w:shd w:val="clear" w:color="auto" w:fill="D4EFF4"/>
          </w:tcPr>
          <w:p>
            <w:pPr>
              <w:spacing w:after="0"/>
              <w:rPr>
                <w:sz w:val="23"/>
                <w:szCs w:val="23"/>
                <w:color w:val="auto"/>
              </w:rPr>
            </w:pPr>
          </w:p>
        </w:tc>
        <w:tc>
          <w:tcPr>
            <w:tcW w:w="20" w:type="dxa"/>
            <w:vAlign w:val="bottom"/>
            <w:tcBorders>
              <w:bottom w:val="single" w:sz="8" w:color="auto"/>
            </w:tcBorders>
            <w:shd w:val="clear" w:color="auto" w:fill="D4EFF4"/>
          </w:tcPr>
          <w:p>
            <w:pPr>
              <w:spacing w:after="0"/>
              <w:rPr>
                <w:sz w:val="23"/>
                <w:szCs w:val="23"/>
                <w:color w:val="auto"/>
              </w:rPr>
            </w:pPr>
          </w:p>
        </w:tc>
        <w:tc>
          <w:tcPr>
            <w:tcW w:w="140" w:type="dxa"/>
            <w:vAlign w:val="bottom"/>
            <w:tcBorders>
              <w:bottom w:val="single" w:sz="8" w:color="D4EFF4"/>
            </w:tcBorders>
            <w:shd w:val="clear" w:color="auto" w:fill="D4EFF4"/>
          </w:tcPr>
          <w:p>
            <w:pPr>
              <w:spacing w:after="0"/>
              <w:rPr>
                <w:sz w:val="23"/>
                <w:szCs w:val="23"/>
                <w:color w:val="auto"/>
              </w:rPr>
            </w:pPr>
          </w:p>
        </w:tc>
        <w:tc>
          <w:tcPr>
            <w:tcW w:w="20" w:type="dxa"/>
            <w:vAlign w:val="bottom"/>
            <w:tcBorders>
              <w:bottom w:val="single" w:sz="8" w:color="D4EFF4"/>
            </w:tcBorders>
            <w:shd w:val="clear" w:color="auto" w:fill="D4EFF4"/>
          </w:tcPr>
          <w:p>
            <w:pPr>
              <w:spacing w:after="0"/>
              <w:rPr>
                <w:sz w:val="23"/>
                <w:szCs w:val="23"/>
                <w:color w:val="auto"/>
              </w:rPr>
            </w:pPr>
          </w:p>
        </w:tc>
        <w:tc>
          <w:tcPr>
            <w:tcW w:w="120" w:type="dxa"/>
            <w:vAlign w:val="bottom"/>
            <w:tcBorders>
              <w:bottom w:val="single" w:sz="8" w:color="auto"/>
            </w:tcBorders>
            <w:shd w:val="clear" w:color="auto" w:fill="D4EFF4"/>
          </w:tcPr>
          <w:p>
            <w:pPr>
              <w:spacing w:after="0"/>
              <w:rPr>
                <w:sz w:val="23"/>
                <w:szCs w:val="23"/>
                <w:color w:val="auto"/>
              </w:rPr>
            </w:pPr>
          </w:p>
        </w:tc>
        <w:tc>
          <w:tcPr>
            <w:tcW w:w="13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(13,589</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54"/>
        </w:trPr>
        <w:tc>
          <w:tcPr>
            <w:tcW w:w="6980" w:type="dxa"/>
            <w:vAlign w:val="bottom"/>
            <w:tcBorders>
              <w:bottom w:val="single" w:sz="8" w:color="D4EFF4"/>
            </w:tcBorders>
          </w:tcPr>
          <w:p>
            <w:pPr>
              <w:ind w:left="200"/>
              <w:spacing w:after="0" w:line="214" w:lineRule="exact"/>
              <w:rPr>
                <w:sz w:val="20"/>
                <w:szCs w:val="20"/>
                <w:color w:val="auto"/>
              </w:rPr>
            </w:pPr>
            <w:r>
              <w:rPr>
                <w:rFonts w:ascii="Times New Roman" w:cs="Times New Roman" w:eastAsia="Times New Roman" w:hAnsi="Times New Roman"/>
                <w:sz w:val="20"/>
                <w:szCs w:val="20"/>
                <w:color w:val="auto"/>
              </w:rPr>
              <w:t>Net loss attributable to common stockholders</w:t>
            </w:r>
          </w:p>
        </w:tc>
        <w:tc>
          <w:tcPr>
            <w:tcW w:w="180" w:type="dxa"/>
            <w:vAlign w:val="bottom"/>
            <w:tcBorders>
              <w:bottom w:val="single" w:sz="8" w:color="D4EFF4"/>
            </w:tcBorders>
            <w:gridSpan w:val="2"/>
          </w:tcPr>
          <w:p>
            <w:pPr>
              <w:spacing w:after="0"/>
              <w:rPr>
                <w:sz w:val="22"/>
                <w:szCs w:val="22"/>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(143,443 )</w:t>
            </w: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D4EFF4"/>
            </w:tcBorders>
            <w:gridSpan w:val="2"/>
          </w:tcPr>
          <w:p>
            <w:pPr>
              <w:spacing w:after="0"/>
              <w:rPr>
                <w:sz w:val="22"/>
                <w:szCs w:val="22"/>
                <w:color w:val="auto"/>
              </w:rPr>
            </w:pPr>
          </w:p>
        </w:tc>
        <w:tc>
          <w:tcPr>
            <w:tcW w:w="12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tcBorders>
              <w:bottom w:val="single" w:sz="8" w:color="auto"/>
            </w:tcBorders>
            <w:gridSpan w:val="2"/>
          </w:tcPr>
          <w:p>
            <w:pPr>
              <w:jc w:val="right"/>
              <w:spacing w:after="0" w:line="214" w:lineRule="exact"/>
              <w:rPr>
                <w:sz w:val="20"/>
                <w:szCs w:val="20"/>
                <w:color w:val="auto"/>
              </w:rPr>
            </w:pPr>
            <w:r>
              <w:rPr>
                <w:rFonts w:ascii="Times New Roman" w:cs="Times New Roman" w:eastAsia="Times New Roman" w:hAnsi="Times New Roman"/>
                <w:sz w:val="20"/>
                <w:szCs w:val="20"/>
                <w:color w:val="auto"/>
              </w:rPr>
              <w:t>(76,395 )</w:t>
            </w:r>
          </w:p>
        </w:tc>
      </w:tr>
      <w:tr>
        <w:trPr>
          <w:trHeight w:val="228"/>
        </w:trPr>
        <w:tc>
          <w:tcPr>
            <w:tcW w:w="6980" w:type="dxa"/>
            <w:vAlign w:val="bottom"/>
            <w:shd w:val="clear" w:color="auto" w:fill="D4EFF4"/>
          </w:tcPr>
          <w:p>
            <w:pPr>
              <w:spacing w:after="0" w:line="228" w:lineRule="exact"/>
              <w:rPr>
                <w:sz w:val="20"/>
                <w:szCs w:val="20"/>
                <w:color w:val="auto"/>
              </w:rPr>
            </w:pPr>
            <w:r>
              <w:rPr>
                <w:rFonts w:ascii="Times New Roman" w:cs="Times New Roman" w:eastAsia="Times New Roman" w:hAnsi="Times New Roman"/>
                <w:sz w:val="20"/>
                <w:szCs w:val="20"/>
                <w:color w:val="auto"/>
              </w:rPr>
              <w:t>Denominator:</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24"/>
        </w:trPr>
        <w:tc>
          <w:tcPr>
            <w:tcW w:w="698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auto"/>
              </w:rPr>
              <w:t>Weighted-average common shares outstanding, basic</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90"/>
        </w:trPr>
        <w:tc>
          <w:tcPr>
            <w:tcW w:w="6980" w:type="dxa"/>
            <w:vAlign w:val="bottom"/>
            <w:tcBorders>
              <w:bottom w:val="single" w:sz="8" w:color="D4EFF4"/>
            </w:tcBorders>
          </w:tcPr>
          <w:p>
            <w:pPr>
              <w:ind w:left="360"/>
              <w:spacing w:after="0"/>
              <w:rPr>
                <w:sz w:val="20"/>
                <w:szCs w:val="20"/>
                <w:color w:val="auto"/>
              </w:rPr>
            </w:pPr>
            <w:r>
              <w:rPr>
                <w:rFonts w:ascii="Times New Roman" w:cs="Times New Roman" w:eastAsia="Times New Roman" w:hAnsi="Times New Roman"/>
                <w:sz w:val="20"/>
                <w:szCs w:val="20"/>
                <w:color w:val="auto"/>
              </w:rPr>
              <w:t>and diluted</w:t>
            </w:r>
          </w:p>
        </w:tc>
        <w:tc>
          <w:tcPr>
            <w:tcW w:w="16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53,852,752</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D4EFF4"/>
            </w:tcBorders>
          </w:tcPr>
          <w:p>
            <w:pPr>
              <w:spacing w:after="0"/>
              <w:rPr>
                <w:sz w:val="24"/>
                <w:szCs w:val="24"/>
                <w:color w:val="auto"/>
              </w:rPr>
            </w:pPr>
          </w:p>
        </w:tc>
        <w:tc>
          <w:tcPr>
            <w:tcW w:w="20" w:type="dxa"/>
            <w:vAlign w:val="bottom"/>
            <w:tcBorders>
              <w:bottom w:val="single" w:sz="8" w:color="D4EFF4"/>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13,682,326</w:t>
            </w:r>
          </w:p>
        </w:tc>
        <w:tc>
          <w:tcPr>
            <w:tcW w:w="120" w:type="dxa"/>
            <w:vAlign w:val="bottom"/>
            <w:tcBorders>
              <w:bottom w:val="single" w:sz="8" w:color="auto"/>
            </w:tcBorders>
          </w:tcPr>
          <w:p>
            <w:pPr>
              <w:spacing w:after="0"/>
              <w:rPr>
                <w:sz w:val="24"/>
                <w:szCs w:val="24"/>
                <w:color w:val="auto"/>
              </w:rPr>
            </w:pPr>
          </w:p>
        </w:tc>
      </w:tr>
      <w:tr>
        <w:trPr>
          <w:trHeight w:val="229"/>
        </w:trPr>
        <w:tc>
          <w:tcPr>
            <w:tcW w:w="6980" w:type="dxa"/>
            <w:vAlign w:val="bottom"/>
            <w:shd w:val="clear" w:color="auto" w:fill="D4EFF4"/>
          </w:tcPr>
          <w:p>
            <w:pPr>
              <w:ind w:left="200"/>
              <w:spacing w:after="0"/>
              <w:rPr>
                <w:sz w:val="20"/>
                <w:szCs w:val="20"/>
                <w:color w:val="auto"/>
              </w:rPr>
            </w:pPr>
            <w:r>
              <w:rPr>
                <w:rFonts w:ascii="Times New Roman" w:cs="Times New Roman" w:eastAsia="Times New Roman" w:hAnsi="Times New Roman"/>
                <w:sz w:val="20"/>
                <w:szCs w:val="20"/>
                <w:color w:val="auto"/>
              </w:rPr>
              <w:t>Net loss per share attributable to common stockholders,</w:t>
            </w:r>
          </w:p>
        </w:tc>
        <w:tc>
          <w:tcPr>
            <w:tcW w:w="16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3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31"/>
        </w:trPr>
        <w:tc>
          <w:tcPr>
            <w:tcW w:w="6980" w:type="dxa"/>
            <w:vAlign w:val="bottom"/>
            <w:shd w:val="clear" w:color="auto" w:fill="D4EFF4"/>
          </w:tcPr>
          <w:p>
            <w:pPr>
              <w:ind w:left="360"/>
              <w:spacing w:after="0"/>
              <w:rPr>
                <w:sz w:val="20"/>
                <w:szCs w:val="20"/>
                <w:color w:val="auto"/>
              </w:rPr>
            </w:pPr>
            <w:r>
              <w:rPr>
                <w:rFonts w:ascii="Times New Roman" w:cs="Times New Roman" w:eastAsia="Times New Roman" w:hAnsi="Times New Roman"/>
                <w:sz w:val="20"/>
                <w:szCs w:val="20"/>
                <w:color w:val="auto"/>
              </w:rPr>
              <w:t>basic and diluted</w:t>
            </w:r>
          </w:p>
        </w:tc>
        <w:tc>
          <w:tcPr>
            <w:tcW w:w="16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10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c>
          <w:tcPr>
            <w:tcW w:w="20" w:type="dxa"/>
            <w:vAlign w:val="bottom"/>
            <w:tcBorders>
              <w:bottom w:val="single" w:sz="8" w:color="auto"/>
            </w:tcBorders>
            <w:shd w:val="clear" w:color="auto" w:fill="D4EFF4"/>
          </w:tcPr>
          <w:p>
            <w:pPr>
              <w:spacing w:after="0"/>
              <w:rPr>
                <w:sz w:val="20"/>
                <w:szCs w:val="20"/>
                <w:color w:val="auto"/>
              </w:rPr>
            </w:pPr>
          </w:p>
        </w:tc>
        <w:tc>
          <w:tcPr>
            <w:tcW w:w="140" w:type="dxa"/>
            <w:vAlign w:val="bottom"/>
            <w:shd w:val="clear" w:color="auto" w:fill="D4EFF4"/>
          </w:tcPr>
          <w:p>
            <w:pPr>
              <w:spacing w:after="0"/>
              <w:rPr>
                <w:sz w:val="20"/>
                <w:szCs w:val="20"/>
                <w:color w:val="auto"/>
              </w:rPr>
            </w:pPr>
          </w:p>
        </w:tc>
        <w:tc>
          <w:tcPr>
            <w:tcW w:w="20" w:type="dxa"/>
            <w:vAlign w:val="bottom"/>
            <w:tcBorders>
              <w:bottom w:val="single" w:sz="8" w:color="auto"/>
            </w:tcBorders>
            <w:shd w:val="clear" w:color="auto" w:fill="D4EFF4"/>
          </w:tcPr>
          <w:p>
            <w:pPr>
              <w:spacing w:after="0"/>
              <w:rPr>
                <w:sz w:val="20"/>
                <w:szCs w:val="20"/>
                <w:color w:val="auto"/>
              </w:rPr>
            </w:pP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3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rPr>
              <w:t>(5.58</w:t>
            </w:r>
          </w:p>
        </w:tc>
        <w:tc>
          <w:tcPr>
            <w:tcW w:w="120" w:type="dxa"/>
            <w:vAlign w:val="bottom"/>
            <w:tcBorders>
              <w:bottom w:val="single" w:sz="8" w:color="auto"/>
            </w:tcBorders>
            <w:shd w:val="clear" w:color="auto" w:fill="D4EFF4"/>
          </w:tcPr>
          <w:p>
            <w:pPr>
              <w:jc w:val="right"/>
              <w:spacing w:after="0"/>
              <w:rPr>
                <w:sz w:val="20"/>
                <w:szCs w:val="20"/>
                <w:color w:val="auto"/>
              </w:rPr>
            </w:pPr>
            <w:r>
              <w:rPr>
                <w:rFonts w:ascii="Times New Roman" w:cs="Times New Roman" w:eastAsia="Times New Roman" w:hAnsi="Times New Roman"/>
                <w:sz w:val="20"/>
                <w:szCs w:val="20"/>
                <w:color w:val="auto"/>
                <w:w w:val="89"/>
                <w:shd w:val="clear" w:color="auto" w:fill="D4EFF4"/>
              </w:rPr>
              <w:t>)</w:t>
            </w:r>
          </w:p>
        </w:tc>
      </w:tr>
      <w:tr>
        <w:trPr>
          <w:trHeight w:val="20"/>
        </w:trPr>
        <w:tc>
          <w:tcPr>
            <w:tcW w:w="6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Prior to June 2023, the Company’s Series A Preferred Stockholders were not entitled to cumulative dividends. In connection with the Series B Agreement in June 2023, the Company modified the dividend rights for its Series A Preferred Stockholders such that they became entitled to cumulative dividends based on the original issuance dates of the respective Series A Preferred Stock. As such, for the year ended December 31, 2024, the Company calculated its net loss attributable to common stockholders by adjusting its net loss for the aggregate cumulative dividends that had accrued since the original issuances dates in the period in which the Preferred Stockholders became legally entitled to such dividends.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potentially dilutive securities, which include stock options to purchase common stock and Preferred Stock, have</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10440"/>
          </w:cols>
          <w:pgMar w:left="900" w:top="696" w:right="900" w:bottom="187" w:gutter="0" w:footer="0" w:header="0"/>
          <w:type w:val="continuous"/>
        </w:sectPr>
      </w:pPr>
    </w:p>
    <w:bookmarkStart w:id="155" w:name="page156"/>
    <w:bookmarkEnd w:id="155"/>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been excluded from the computation of diluted net loss per share as the effect would be anti-dilutive. Therefore, the weighted average number of common shares outstanding used to calculate both basic and diluted net loss per share attributable to common stockholders is the same.</w:t>
      </w:r>
    </w:p>
    <w:p>
      <w:pPr>
        <w:spacing w:after="0" w:line="188"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20"/>
          <w:szCs w:val="20"/>
          <w:color w:val="auto"/>
        </w:rPr>
        <w:t>The following potentially dilutive securities have been excluded from the calculation of diluted net loss per share due to their anti-dilutive effect: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20" w:type="dxa"/>
            <w:vAlign w:val="bottom"/>
          </w:tcPr>
          <w:p>
            <w:pPr>
              <w:spacing w:after="0"/>
              <w:rPr>
                <w:sz w:val="17"/>
                <w:szCs w:val="17"/>
                <w:color w:val="auto"/>
              </w:rPr>
            </w:pPr>
          </w:p>
        </w:tc>
        <w:tc>
          <w:tcPr>
            <w:tcW w:w="22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6"/>
                <w:szCs w:val="16"/>
                <w:b w:val="1"/>
                <w:bCs w:val="1"/>
                <w:color w:val="auto"/>
                <w:w w:val="99"/>
              </w:rPr>
              <w:t>As of December 31,</w:t>
            </w:r>
          </w:p>
        </w:tc>
        <w:tc>
          <w:tcPr>
            <w:tcW w:w="1040" w:type="dxa"/>
            <w:vAlign w:val="bottom"/>
            <w:tcBorders>
              <w:bottom w:val="single" w:sz="8" w:color="auto"/>
            </w:tcBorders>
          </w:tcPr>
          <w:p>
            <w:pPr>
              <w:spacing w:after="0"/>
              <w:rPr>
                <w:sz w:val="17"/>
                <w:szCs w:val="17"/>
                <w:color w:val="auto"/>
              </w:rPr>
            </w:pPr>
          </w:p>
        </w:tc>
      </w:tr>
      <w:tr>
        <w:trPr>
          <w:trHeight w:val="188"/>
        </w:trPr>
        <w:tc>
          <w:tcPr>
            <w:tcW w:w="7120" w:type="dxa"/>
            <w:vAlign w:val="bottom"/>
            <w:tcBorders>
              <w:bottom w:val="single" w:sz="8" w:color="D4EFF4"/>
            </w:tcBorders>
          </w:tcPr>
          <w:p>
            <w:pPr>
              <w:spacing w:after="0"/>
              <w:rPr>
                <w:sz w:val="16"/>
                <w:szCs w:val="16"/>
                <w:color w:val="auto"/>
              </w:rPr>
            </w:pPr>
          </w:p>
        </w:tc>
        <w:tc>
          <w:tcPr>
            <w:tcW w:w="160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D4EFF4"/>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234"/>
        </w:trPr>
        <w:tc>
          <w:tcPr>
            <w:tcW w:w="7120" w:type="dxa"/>
            <w:vAlign w:val="bottom"/>
            <w:shd w:val="clear" w:color="auto" w:fill="D4EFF4"/>
          </w:tcPr>
          <w:p>
            <w:pPr>
              <w:spacing w:after="0"/>
              <w:rPr>
                <w:sz w:val="20"/>
                <w:szCs w:val="20"/>
                <w:color w:val="auto"/>
              </w:rPr>
            </w:pPr>
            <w:r>
              <w:rPr>
                <w:rFonts w:ascii="Times New Roman" w:cs="Times New Roman" w:eastAsia="Times New Roman" w:hAnsi="Times New Roman"/>
                <w:sz w:val="20"/>
                <w:szCs w:val="20"/>
                <w:color w:val="auto"/>
              </w:rPr>
              <w:t>Stock options to purchase common stock</w:t>
            </w:r>
          </w:p>
        </w:tc>
        <w:tc>
          <w:tcPr>
            <w:tcW w:w="1600" w:type="dxa"/>
            <w:vAlign w:val="bottom"/>
            <w:shd w:val="clear" w:color="auto" w:fill="D4EFF4"/>
          </w:tcPr>
          <w:p>
            <w:pPr>
              <w:jc w:val="right"/>
              <w:ind w:right="33"/>
              <w:spacing w:after="0"/>
              <w:rPr>
                <w:sz w:val="20"/>
                <w:szCs w:val="20"/>
                <w:color w:val="auto"/>
              </w:rPr>
            </w:pPr>
            <w:r>
              <w:rPr>
                <w:rFonts w:ascii="Times New Roman" w:cs="Times New Roman" w:eastAsia="Times New Roman" w:hAnsi="Times New Roman"/>
                <w:sz w:val="20"/>
                <w:szCs w:val="20"/>
                <w:color w:val="auto"/>
              </w:rPr>
              <w:t>7,960,728</w:t>
            </w:r>
          </w:p>
        </w:tc>
        <w:tc>
          <w:tcPr>
            <w:tcW w:w="120" w:type="dxa"/>
            <w:vAlign w:val="bottom"/>
            <w:shd w:val="clear" w:color="auto" w:fill="D4EFF4"/>
          </w:tcPr>
          <w:p>
            <w:pPr>
              <w:spacing w:after="0"/>
              <w:rPr>
                <w:sz w:val="20"/>
                <w:szCs w:val="20"/>
                <w:color w:val="auto"/>
              </w:rPr>
            </w:pPr>
          </w:p>
        </w:tc>
        <w:tc>
          <w:tcPr>
            <w:tcW w:w="560" w:type="dxa"/>
            <w:vAlign w:val="bottom"/>
            <w:shd w:val="clear" w:color="auto" w:fill="D4EFF4"/>
          </w:tcPr>
          <w:p>
            <w:pPr>
              <w:spacing w:after="0"/>
              <w:rPr>
                <w:sz w:val="20"/>
                <w:szCs w:val="20"/>
                <w:color w:val="auto"/>
              </w:rPr>
            </w:pPr>
          </w:p>
        </w:tc>
        <w:tc>
          <w:tcPr>
            <w:tcW w:w="1040" w:type="dxa"/>
            <w:vAlign w:val="bottom"/>
            <w:shd w:val="clear" w:color="auto" w:fill="D4EFF4"/>
          </w:tcPr>
          <w:p>
            <w:pPr>
              <w:jc w:val="right"/>
              <w:ind w:right="30"/>
              <w:spacing w:after="0"/>
              <w:rPr>
                <w:sz w:val="20"/>
                <w:szCs w:val="20"/>
                <w:color w:val="auto"/>
              </w:rPr>
            </w:pPr>
            <w:r>
              <w:rPr>
                <w:rFonts w:ascii="Times New Roman" w:cs="Times New Roman" w:eastAsia="Times New Roman" w:hAnsi="Times New Roman"/>
                <w:sz w:val="20"/>
                <w:szCs w:val="20"/>
                <w:color w:val="auto"/>
              </w:rPr>
              <w:t>6,490,571</w:t>
            </w: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7360" w:firstLine="7"/>
        <w:spacing w:after="0" w:line="367" w:lineRule="auto"/>
        <w:tabs>
          <w:tab w:leader="none" w:pos="3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Commitments and contingencies </w:t>
      </w:r>
      <w:r>
        <w:rPr>
          <w:rFonts w:ascii="Times New Roman" w:cs="Times New Roman" w:eastAsia="Times New Roman" w:hAnsi="Times New Roman"/>
          <w:sz w:val="20"/>
          <w:szCs w:val="20"/>
          <w:b w:val="1"/>
          <w:bCs w:val="1"/>
          <w:i w:val="1"/>
          <w:iCs w:val="1"/>
          <w:color w:val="auto"/>
        </w:rPr>
        <w:t>Legal matters</w:t>
      </w:r>
    </w:p>
    <w:p>
      <w:pPr>
        <w:ind w:right="140"/>
        <w:spacing w:after="0" w:line="246" w:lineRule="auto"/>
        <w:rPr>
          <w:sz w:val="20"/>
          <w:szCs w:val="20"/>
          <w:color w:val="auto"/>
        </w:rPr>
      </w:pPr>
      <w:r>
        <w:rPr>
          <w:rFonts w:ascii="Times New Roman" w:cs="Times New Roman" w:eastAsia="Times New Roman" w:hAnsi="Times New Roman"/>
          <w:sz w:val="20"/>
          <w:szCs w:val="20"/>
          <w:color w:val="auto"/>
        </w:rPr>
        <w:t>The Company is subject to contingent liabilities, such as legal proceedings and claims, that arise in the ordinary course of business activities. The Company accrues for loss contingencies when losses become probable and are reasonably estimable. If the reasonable estimate of the loss is a range and no amount within the range is a better estimate, the minimum amount of the range is recorded as a liability on the consolidated balance sheets. The Company does not accrue for contingent losses that, in its judgment, are considered to be reasonably possible, but not probable; however, it discloses the range of reasonably possible losses. As of December 31, 2025 and 2024, the Company was not a party to any material legal proceedings or claims and no liabilities were recorded for loss contingencies.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Contracts</w:t>
      </w:r>
    </w:p>
    <w:p>
      <w:pPr>
        <w:spacing w:after="0" w:line="1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various third parties for preclinical research studies, clinical trials, testing, manufacturing, and other services. These contracts generally provide for termination upon notice and are cancellable without significant penalty or payment, and do not contain any minimum purchase commitments.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Guarantees and indemnifications</w:t>
      </w:r>
    </w:p>
    <w:p>
      <w:pPr>
        <w:spacing w:after="0" w:line="12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all board of directors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that could have a material effect on its financial position, results of operations or cash flows, and it has not accrued any liabilities related to such obligations in its consolidated financial statements as of December 31, 2025 and 2024.</w:t>
      </w:r>
    </w:p>
    <w:p>
      <w:pPr>
        <w:spacing w:after="0" w:line="317" w:lineRule="exact"/>
        <w:rPr>
          <w:sz w:val="20"/>
          <w:szCs w:val="20"/>
          <w:color w:val="auto"/>
        </w:rPr>
      </w:pPr>
    </w:p>
    <w:p>
      <w:pPr>
        <w:ind w:right="7920" w:firstLine="7"/>
        <w:spacing w:after="0" w:line="367" w:lineRule="auto"/>
        <w:tabs>
          <w:tab w:leader="none" w:pos="3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License agreements </w:t>
      </w:r>
      <w:r>
        <w:rPr>
          <w:rFonts w:ascii="Times New Roman" w:cs="Times New Roman" w:eastAsia="Times New Roman" w:hAnsi="Times New Roman"/>
          <w:sz w:val="20"/>
          <w:szCs w:val="20"/>
          <w:b w:val="1"/>
          <w:bCs w:val="1"/>
          <w:i w:val="1"/>
          <w:iCs w:val="1"/>
          <w:color w:val="auto"/>
        </w:rPr>
        <w:t>License agreement with Lonza</w:t>
      </w:r>
    </w:p>
    <w:p>
      <w:pPr>
        <w:spacing w:after="0" w:line="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In October 2021, in connection with an asset purchase agreement entered into with Astellas Pharma, Inc. (“Astellas”), the Company and Lonza Sales AG (“Lonza”) entered into a license agreement (as amended, the “Lonza License Agreement”). Pursuant to the Lonza License Agreement, the Company obtained a worldwide, non-exclusive, sublicensable (subject to Lonza’s right of pre-approval with respect to any sublicense of manufacturing activities) license to certain intellectual property rights owned by Lonza. Lonza was the originator of the master cell bank for verekitug (formerly referred to as ASP7266 and UPB-101, collectively referred to as “the Compound”) developed by Astellas.</w: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10440"/>
          </w:cols>
          <w:pgMar w:left="900" w:top="696" w:right="900" w:bottom="187" w:gutter="0" w:footer="0" w:header="0"/>
          <w:type w:val="continuous"/>
        </w:sectPr>
      </w:pPr>
    </w:p>
    <w:bookmarkStart w:id="156" w:name="page157"/>
    <w:bookmarkEnd w:id="15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As consideration for the rights and licenses granted to the Company under the Lonza License Agreement, the Company agreed to pay Lonza certain royalties and annual payments, both payable in Swiss francs, in respect of the manufacturing and sale of the Compound, such amounts to be determined by the party manufacturing the Compound, and range from no annual payment to up to a mid-six -figure annual payment, and a less-than-one percent to a low-single-digit percentage royalty on net sales of the Compound. In accordance with the Lonza License Agreement, the Company entered into a sublicense with Wuxi Biologics (Hong Kong) Limited to manufacture the Compound, requiring the Company to pay a mid-six-figure annual fee to Lonza pursuant to this provision.</w:t>
      </w:r>
    </w:p>
    <w:p>
      <w:pPr>
        <w:spacing w:after="0" w:line="199"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20"/>
          <w:szCs w:val="20"/>
          <w:color w:val="auto"/>
        </w:rPr>
        <w:t>Any royalties due under the Lonza License Agreement are payable on a country-by-country basis until ten years from the first commercial sale of the Compound in that particular country.</w:t>
      </w:r>
    </w:p>
    <w:p>
      <w:pPr>
        <w:spacing w:after="0" w:line="16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did not make any royalty payments to Lonza under the Lonza License Agreement. The Lonza agreement continues for an indefinite period of time unless otherwise terminated. The Company has the right to terminate the Lonza License Agreement at any time by providing prior written notice to Lonza.</w:t>
      </w:r>
    </w:p>
    <w:p>
      <w:pPr>
        <w:spacing w:after="0" w:line="185" w:lineRule="exact"/>
        <w:rPr>
          <w:sz w:val="20"/>
          <w:szCs w:val="20"/>
          <w:color w:val="auto"/>
        </w:rPr>
      </w:pPr>
    </w:p>
    <w:p>
      <w:pPr>
        <w:ind w:right="520"/>
        <w:spacing w:after="0" w:line="259" w:lineRule="auto"/>
        <w:rPr>
          <w:sz w:val="20"/>
          <w:szCs w:val="20"/>
          <w:color w:val="auto"/>
        </w:rPr>
      </w:pPr>
      <w:r>
        <w:rPr>
          <w:rFonts w:ascii="Times New Roman" w:cs="Times New Roman" w:eastAsia="Times New Roman" w:hAnsi="Times New Roman"/>
          <w:sz w:val="20"/>
          <w:szCs w:val="20"/>
          <w:color w:val="auto"/>
        </w:rPr>
        <w:t>During each of the years ended December 31, 2025 and 2024, the Company made an annual payment in the amount of $0.5 million to Lonza pursuant to the Lonza License Agreement and recognized it as research and development expense in the consolidated statements of operations and comprehensive loss.</w:t>
      </w:r>
    </w:p>
    <w:p>
      <w:pPr>
        <w:spacing w:after="0" w:line="301" w:lineRule="exact"/>
        <w:rPr>
          <w:sz w:val="20"/>
          <w:szCs w:val="20"/>
          <w:color w:val="auto"/>
        </w:rPr>
      </w:pPr>
    </w:p>
    <w:p>
      <w:pPr>
        <w:ind w:right="8820" w:firstLine="7"/>
        <w:spacing w:after="0" w:line="367" w:lineRule="auto"/>
        <w:tabs>
          <w:tab w:leader="none" w:pos="3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Revenue </w:t>
      </w:r>
      <w:r>
        <w:rPr>
          <w:rFonts w:ascii="Times New Roman" w:cs="Times New Roman" w:eastAsia="Times New Roman" w:hAnsi="Times New Roman"/>
          <w:sz w:val="20"/>
          <w:szCs w:val="20"/>
          <w:b w:val="1"/>
          <w:bCs w:val="1"/>
          <w:i w:val="1"/>
          <w:iCs w:val="1"/>
          <w:color w:val="auto"/>
        </w:rPr>
        <w:t>Maruho agreement</w:t>
      </w:r>
    </w:p>
    <w:p>
      <w:pPr>
        <w:spacing w:after="0" w:line="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October 2021, in connection with an asset purchase agreement entered into with Astellas, the Company entered into an agreement (as amended, the “Maruho Agreement”), under which it granted Maruho an exclusive, irrevocable, perpetual, royalty-free, sublicensable (subject to its right of first negotiation) license. Pursuant to the Maruho Agreement, the Company maintains its responsibility for and controls the global research and development of the Maruho license product, including in Japan. The Company will conduct specified clinical trial activities for Japan as part of its global research and development plan. Maruho will reimburse the Company for the costs of these research and development activities, including the cost of drug supply. Maruho has the right to terminate the Maruho Agreement at any time by providing 60 days prior written notice to the Company with no substantial penalty.</w:t>
      </w:r>
    </w:p>
    <w:p>
      <w:pPr>
        <w:spacing w:after="0" w:line="201"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auto"/>
        </w:rPr>
        <w:t>The Company concluded that Maruho is a customer under the Maruho Agreement, and as such, the Maruho Agreement falls within the scope of ASC 606. The Company identified one performance obligation under the Maruho Agreement related to the performance of research and development services, which are an output of the Company’s ordinary activities, in Japan. The Company determined that the transaction price of the Maruho Agreement as of December 31, 2025 consisted solely of variable consideration. The variable consideration was estimated using the expected value method based on the Company’s experience and best judgment of the total reimbursable costs expected to be incurred through the period of performance.</w:t>
      </w:r>
    </w:p>
    <w:p>
      <w:pPr>
        <w:spacing w:after="0" w:line="20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The transaction price is being recognized as revenue over time using the cost-to-cost input method, which the Company believes best depicts the transfer of control to the customer. Under the cost-to-cost input method, the extent of progress towards completion is measured based on the ratio of actual costs incurred in Japan to the total estimated costs expected to satisfy the performance obligation. The calculation of the total estimated costs to fulfill the performance obligation includes costs associated with employees, clinical and development, manufacturing, and out-of-pocket costs expected to be paid to third parties. The estimate of the Company’s measure of progress and estimate of variable consideration to be included in the transaction price will be updated at each reporting period as a change in estimate. The Company excludes disclosures related to the aggregate amount of the transaction price allocated to the performance obligation that are unsatisfied as of the end of the reporting period because the contract has an initial expected term of one year or less. The Company currently expects to continue providing research and development services to Maruho under the Maruho Agreement through the completion of its Phase 2 clinical trials, and if successful, through any Phase 3 clinical trials.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Related parties</w:t>
      </w:r>
    </w:p>
    <w:p>
      <w:pPr>
        <w:spacing w:after="0" w:line="124"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9"/>
          <w:szCs w:val="19"/>
          <w:color w:val="auto"/>
        </w:rPr>
        <w:t>In October 2021, the Company entered into the Maruho Agreement (Note 15). Through the date of the IPO, Maruho was considered to be a related party because it was one of the co-founders of the Company and had representation on the Company’s board of directors. Since the closing of the IPO in October 2024, Maruho is no longer considered a related party as they no longer have representation on the Company’s board of directors. During the years ended December 31, 2025 and 2024, the Company</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F-26</w:t>
      </w:r>
    </w:p>
    <w:p>
      <w:pPr>
        <w:sectPr>
          <w:pgSz w:w="12240" w:h="15840" w:orient="portrait"/>
          <w:cols w:equalWidth="0" w:num="1">
            <w:col w:w="10420"/>
          </w:cols>
          <w:pgMar w:left="900" w:top="696" w:right="920" w:bottom="175"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b w:val="1"/>
          <w:bCs w:val="1"/>
          <w:color w:val="auto"/>
        </w:rPr>
        <w:t>Upstream Bio,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3"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20"/>
          <w:szCs w:val="20"/>
          <w:color w:val="auto"/>
        </w:rPr>
        <w:t>received payments of $2.8 million and $1.9 million, respectively, in cost reimbursements from Maruho. The Company recorded collaboration revenue of $2.9 million and $2.4 million during the years ended December 31, 2025 and 2024, respectively. As of December 31, 2025 and 2024, there was $0.7 million and $0.6 million in accounts receivable, respectively, representing amounts due for qualifying reimbursable expenses related to the Maruho Agreement.</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Employee benefit plan</w:t>
      </w:r>
    </w:p>
    <w:p>
      <w:pPr>
        <w:spacing w:after="0" w:line="124"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The Company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 Company made $0.4 million and $0.2 million in contributions to the plan during the years ended December 31, 2025 and 2024, respectively.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Segment reporting</w:t>
      </w:r>
    </w:p>
    <w:p>
      <w:pPr>
        <w:spacing w:after="0" w:line="124"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The Company currently has a single reportable operating segment and revenue generated exclusively from the Maruho Agreement. The Company’s chief executive officer, who is the CODM, manages the Company on a consolidated basis and utilizes consolidated net loss as a basis for resource allocation and decision making. The CODM considers budget-to-actual variances for each of the disaggregated components of operating expenses when making decisions about allocating resources and evaluating performance. The measure of segment assets is reported on the consolidated balance sheet as total consolidated assets. In addition, the CODM is regularly provided information on total cash, which is inclusive of cash, cash equivalents and short-term investments, as a measure of segment assets. As of December 31, 2025, the Company’s cash, cash equivalents and short-term investments were $341.5 million.</w:t>
      </w:r>
    </w:p>
    <w:p>
      <w:pPr>
        <w:spacing w:after="0" w:line="121"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20"/>
          <w:szCs w:val="20"/>
          <w:color w:val="auto"/>
        </w:rPr>
        <w:t>The Company's consolidated and segment net loss, including disaggregated components of operating expenses is as follows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7"/>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58"/>
        </w:trPr>
        <w:tc>
          <w:tcPr>
            <w:tcW w:w="6360" w:type="dxa"/>
            <w:vAlign w:val="bottom"/>
            <w:tcBorders>
              <w:bottom w:val="single" w:sz="8" w:color="D4EFF4"/>
            </w:tcBorders>
          </w:tcPr>
          <w:p>
            <w:pPr>
              <w:spacing w:after="0"/>
              <w:rPr>
                <w:sz w:val="22"/>
                <w:szCs w:val="22"/>
                <w:color w:val="auto"/>
              </w:rPr>
            </w:pPr>
          </w:p>
        </w:tc>
        <w:tc>
          <w:tcPr>
            <w:tcW w:w="108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auto"/>
            </w:tcBorders>
          </w:tcPr>
          <w:p>
            <w:pPr>
              <w:spacing w:after="0"/>
              <w:rPr>
                <w:sz w:val="22"/>
                <w:szCs w:val="22"/>
                <w:color w:val="auto"/>
              </w:rPr>
            </w:pPr>
          </w:p>
        </w:tc>
      </w:tr>
      <w:tr>
        <w:trPr>
          <w:trHeight w:val="204"/>
        </w:trPr>
        <w:tc>
          <w:tcPr>
            <w:tcW w:w="6360" w:type="dxa"/>
            <w:vAlign w:val="bottom"/>
            <w:tcBorders>
              <w:top w:val="single" w:sz="8" w:color="D4EFF4"/>
            </w:tcBorders>
            <w:shd w:val="clear" w:color="auto" w:fill="D4EFF4"/>
          </w:tcPr>
          <w:p>
            <w:pPr>
              <w:spacing w:after="0" w:line="204" w:lineRule="exact"/>
              <w:rPr>
                <w:sz w:val="20"/>
                <w:szCs w:val="20"/>
                <w:color w:val="auto"/>
              </w:rPr>
            </w:pPr>
            <w:r>
              <w:rPr>
                <w:rFonts w:ascii="Times New Roman" w:cs="Times New Roman" w:eastAsia="Times New Roman" w:hAnsi="Times New Roman"/>
                <w:sz w:val="20"/>
                <w:szCs w:val="20"/>
                <w:color w:val="auto"/>
              </w:rPr>
              <w:t>Collaboration revenue</w:t>
            </w:r>
          </w:p>
        </w:tc>
        <w:tc>
          <w:tcPr>
            <w:tcW w:w="108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tcBorders>
            <w:shd w:val="clear" w:color="auto" w:fill="D4EFF4"/>
          </w:tcPr>
          <w:p>
            <w:pPr>
              <w:spacing w:after="0"/>
              <w:rPr>
                <w:sz w:val="17"/>
                <w:szCs w:val="17"/>
                <w:color w:val="auto"/>
              </w:rPr>
            </w:pPr>
          </w:p>
        </w:tc>
        <w:tc>
          <w:tcPr>
            <w:tcW w:w="100" w:type="dxa"/>
            <w:vAlign w:val="bottom"/>
            <w:tcBorders>
              <w:top w:val="single" w:sz="8" w:color="D4EFF4"/>
            </w:tcBorders>
            <w:shd w:val="clear" w:color="auto" w:fill="D4EFF4"/>
          </w:tcPr>
          <w:p>
            <w:pPr>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200" w:type="dxa"/>
            <w:vAlign w:val="bottom"/>
            <w:tcBorders>
              <w:top w:val="single" w:sz="8" w:color="D4EFF4"/>
            </w:tcBorders>
            <w:shd w:val="clear" w:color="auto" w:fill="D4EFF4"/>
          </w:tcPr>
          <w:p>
            <w:pPr>
              <w:jc w:val="right"/>
              <w:spacing w:after="0" w:line="204" w:lineRule="exact"/>
              <w:rPr>
                <w:sz w:val="20"/>
                <w:szCs w:val="20"/>
                <w:color w:val="auto"/>
              </w:rPr>
            </w:pPr>
            <w:r>
              <w:rPr>
                <w:rFonts w:ascii="Times New Roman" w:cs="Times New Roman" w:eastAsia="Times New Roman" w:hAnsi="Times New Roman"/>
                <w:sz w:val="20"/>
                <w:szCs w:val="20"/>
                <w:color w:val="auto"/>
              </w:rPr>
              <w:t>2,854</w:t>
            </w:r>
          </w:p>
        </w:tc>
        <w:tc>
          <w:tcPr>
            <w:tcW w:w="100" w:type="dxa"/>
            <w:vAlign w:val="bottom"/>
            <w:tcBorders>
              <w:top w:val="single" w:sz="8" w:color="D4EFF4"/>
            </w:tcBorders>
            <w:shd w:val="clear" w:color="auto" w:fill="D4EFF4"/>
          </w:tcPr>
          <w:p>
            <w:pPr>
              <w:spacing w:after="0"/>
              <w:rPr>
                <w:sz w:val="17"/>
                <w:szCs w:val="17"/>
                <w:color w:val="auto"/>
              </w:rPr>
            </w:pPr>
          </w:p>
        </w:tc>
        <w:tc>
          <w:tcPr>
            <w:tcW w:w="140" w:type="dxa"/>
            <w:vAlign w:val="bottom"/>
            <w:tcBorders>
              <w:top w:val="single" w:sz="8" w:color="D4EFF4"/>
            </w:tcBorders>
            <w:shd w:val="clear" w:color="auto" w:fill="D4EFF4"/>
          </w:tcPr>
          <w:p>
            <w:pPr>
              <w:spacing w:after="0"/>
              <w:rPr>
                <w:sz w:val="17"/>
                <w:szCs w:val="17"/>
                <w:color w:val="auto"/>
              </w:rPr>
            </w:pPr>
          </w:p>
        </w:tc>
        <w:tc>
          <w:tcPr>
            <w:tcW w:w="20" w:type="dxa"/>
            <w:vAlign w:val="bottom"/>
            <w:tcBorders>
              <w:top w:val="single" w:sz="8" w:color="D4EFF4"/>
            </w:tcBorders>
            <w:shd w:val="clear" w:color="auto" w:fill="D4EFF4"/>
          </w:tcPr>
          <w:p>
            <w:pPr>
              <w:spacing w:after="0"/>
              <w:rPr>
                <w:sz w:val="17"/>
                <w:szCs w:val="17"/>
                <w:color w:val="auto"/>
              </w:rPr>
            </w:pPr>
          </w:p>
        </w:tc>
        <w:tc>
          <w:tcPr>
            <w:tcW w:w="120" w:type="dxa"/>
            <w:vAlign w:val="bottom"/>
            <w:tcBorders>
              <w:top w:val="single" w:sz="8" w:color="D4EFF4"/>
            </w:tcBorders>
            <w:shd w:val="clear" w:color="auto" w:fill="D4EFF4"/>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shd w:val="clear" w:color="auto" w:fill="D4EFF4"/>
              </w:rPr>
              <w:t>$</w:t>
            </w:r>
          </w:p>
        </w:tc>
        <w:tc>
          <w:tcPr>
            <w:tcW w:w="1180" w:type="dxa"/>
            <w:vAlign w:val="bottom"/>
            <w:tcBorders>
              <w:top w:val="single" w:sz="8" w:color="D4EFF4"/>
            </w:tcBorders>
            <w:shd w:val="clear" w:color="auto" w:fill="D4EFF4"/>
          </w:tcPr>
          <w:p>
            <w:pPr>
              <w:jc w:val="right"/>
              <w:spacing w:after="0" w:line="204" w:lineRule="exact"/>
              <w:rPr>
                <w:sz w:val="20"/>
                <w:szCs w:val="20"/>
                <w:color w:val="auto"/>
              </w:rPr>
            </w:pPr>
            <w:r>
              <w:rPr>
                <w:rFonts w:ascii="Times New Roman" w:cs="Times New Roman" w:eastAsia="Times New Roman" w:hAnsi="Times New Roman"/>
                <w:sz w:val="20"/>
                <w:szCs w:val="20"/>
                <w:color w:val="auto"/>
              </w:rPr>
              <w:t>2,370</w:t>
            </w:r>
          </w:p>
        </w:tc>
        <w:tc>
          <w:tcPr>
            <w:tcW w:w="120" w:type="dxa"/>
            <w:vAlign w:val="bottom"/>
            <w:tcBorders>
              <w:top w:val="single" w:sz="8" w:color="D4EFF4"/>
            </w:tcBorders>
            <w:shd w:val="clear" w:color="auto" w:fill="D4EFF4"/>
          </w:tcPr>
          <w:p>
            <w:pPr>
              <w:spacing w:after="0"/>
              <w:rPr>
                <w:sz w:val="17"/>
                <w:szCs w:val="17"/>
                <w:color w:val="auto"/>
              </w:rPr>
            </w:pPr>
          </w:p>
        </w:tc>
      </w:tr>
      <w:tr>
        <w:trPr>
          <w:trHeight w:val="245"/>
        </w:trPr>
        <w:tc>
          <w:tcPr>
            <w:tcW w:w="6360" w:type="dxa"/>
            <w:vAlign w:val="bottom"/>
            <w:tcBorders>
              <w:bottom w:val="single" w:sz="8" w:color="D4EFF4"/>
            </w:tcBorders>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10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r>
      <w:tr>
        <w:trPr>
          <w:trHeight w:val="224"/>
        </w:trPr>
        <w:tc>
          <w:tcPr>
            <w:tcW w:w="636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Research and development:</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4"/>
        </w:trPr>
        <w:tc>
          <w:tcPr>
            <w:tcW w:w="7440" w:type="dxa"/>
            <w:vAlign w:val="bottom"/>
            <w:tcBorders>
              <w:bottom w:val="single" w:sz="8" w:color="D4EFF4"/>
            </w:tcBorders>
            <w:gridSpan w:val="2"/>
          </w:tcPr>
          <w:p>
            <w:pPr>
              <w:ind w:left="200"/>
              <w:spacing w:after="0"/>
              <w:rPr>
                <w:sz w:val="20"/>
                <w:szCs w:val="20"/>
                <w:color w:val="auto"/>
              </w:rPr>
            </w:pPr>
            <w:r>
              <w:rPr>
                <w:rFonts w:ascii="Times New Roman" w:cs="Times New Roman" w:eastAsia="Times New Roman" w:hAnsi="Times New Roman"/>
                <w:sz w:val="20"/>
                <w:szCs w:val="20"/>
                <w:color w:val="auto"/>
              </w:rPr>
              <w:t>Verekitug program:</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r>
      <w:tr>
        <w:trPr>
          <w:trHeight w:val="224"/>
        </w:trPr>
        <w:tc>
          <w:tcPr>
            <w:tcW w:w="6360" w:type="dxa"/>
            <w:vAlign w:val="bottom"/>
            <w:shd w:val="clear" w:color="auto" w:fill="D4EFF4"/>
          </w:tcPr>
          <w:p>
            <w:pPr>
              <w:ind w:left="400"/>
              <w:spacing w:after="0" w:line="224" w:lineRule="exact"/>
              <w:rPr>
                <w:sz w:val="20"/>
                <w:szCs w:val="20"/>
                <w:color w:val="auto"/>
              </w:rPr>
            </w:pPr>
            <w:r>
              <w:rPr>
                <w:rFonts w:ascii="Times New Roman" w:cs="Times New Roman" w:eastAsia="Times New Roman" w:hAnsi="Times New Roman"/>
                <w:sz w:val="20"/>
                <w:szCs w:val="20"/>
                <w:color w:val="auto"/>
              </w:rPr>
              <w:t>Asthma indication</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47,694</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28,069</w:t>
            </w:r>
          </w:p>
        </w:tc>
        <w:tc>
          <w:tcPr>
            <w:tcW w:w="120" w:type="dxa"/>
            <w:vAlign w:val="bottom"/>
            <w:shd w:val="clear" w:color="auto" w:fill="D4EFF4"/>
          </w:tcPr>
          <w:p>
            <w:pPr>
              <w:spacing w:after="0"/>
              <w:rPr>
                <w:sz w:val="19"/>
                <w:szCs w:val="19"/>
                <w:color w:val="auto"/>
              </w:rPr>
            </w:pPr>
          </w:p>
        </w:tc>
      </w:tr>
      <w:tr>
        <w:trPr>
          <w:trHeight w:val="245"/>
        </w:trPr>
        <w:tc>
          <w:tcPr>
            <w:tcW w:w="6360" w:type="dxa"/>
            <w:vAlign w:val="bottom"/>
            <w:tcBorders>
              <w:bottom w:val="single" w:sz="8" w:color="D4EFF4"/>
            </w:tcBorders>
          </w:tcPr>
          <w:p>
            <w:pPr>
              <w:ind w:left="400"/>
              <w:spacing w:after="0"/>
              <w:rPr>
                <w:sz w:val="20"/>
                <w:szCs w:val="20"/>
                <w:color w:val="auto"/>
              </w:rPr>
            </w:pPr>
            <w:r>
              <w:rPr>
                <w:rFonts w:ascii="Times New Roman" w:cs="Times New Roman" w:eastAsia="Times New Roman" w:hAnsi="Times New Roman"/>
                <w:sz w:val="20"/>
                <w:szCs w:val="20"/>
                <w:color w:val="auto"/>
              </w:rPr>
              <w:t>COPD indication</w:t>
            </w:r>
          </w:p>
        </w:tc>
        <w:tc>
          <w:tcPr>
            <w:tcW w:w="10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34,562</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3,115</w:t>
            </w:r>
          </w:p>
        </w:tc>
        <w:tc>
          <w:tcPr>
            <w:tcW w:w="120" w:type="dxa"/>
            <w:vAlign w:val="bottom"/>
            <w:tcBorders>
              <w:bottom w:val="single" w:sz="8" w:color="D4EFF4"/>
            </w:tcBorders>
          </w:tcPr>
          <w:p>
            <w:pPr>
              <w:spacing w:after="0"/>
              <w:rPr>
                <w:sz w:val="21"/>
                <w:szCs w:val="21"/>
                <w:color w:val="auto"/>
              </w:rPr>
            </w:pPr>
          </w:p>
        </w:tc>
      </w:tr>
      <w:tr>
        <w:trPr>
          <w:trHeight w:val="224"/>
        </w:trPr>
        <w:tc>
          <w:tcPr>
            <w:tcW w:w="6360" w:type="dxa"/>
            <w:vAlign w:val="bottom"/>
            <w:shd w:val="clear" w:color="auto" w:fill="D4EFF4"/>
          </w:tcPr>
          <w:p>
            <w:pPr>
              <w:ind w:left="400"/>
              <w:spacing w:after="0" w:line="224" w:lineRule="exact"/>
              <w:rPr>
                <w:sz w:val="20"/>
                <w:szCs w:val="20"/>
                <w:color w:val="auto"/>
              </w:rPr>
            </w:pPr>
            <w:r>
              <w:rPr>
                <w:rFonts w:ascii="Times New Roman" w:cs="Times New Roman" w:eastAsia="Times New Roman" w:hAnsi="Times New Roman"/>
                <w:sz w:val="20"/>
                <w:szCs w:val="20"/>
                <w:color w:val="auto"/>
              </w:rPr>
              <w:t>CRSwNP indication</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7,564</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10,524</w:t>
            </w:r>
          </w:p>
        </w:tc>
        <w:tc>
          <w:tcPr>
            <w:tcW w:w="120" w:type="dxa"/>
            <w:vAlign w:val="bottom"/>
            <w:shd w:val="clear" w:color="auto" w:fill="D4EFF4"/>
          </w:tcPr>
          <w:p>
            <w:pPr>
              <w:spacing w:after="0"/>
              <w:rPr>
                <w:sz w:val="19"/>
                <w:szCs w:val="19"/>
                <w:color w:val="auto"/>
              </w:rPr>
            </w:pPr>
          </w:p>
        </w:tc>
      </w:tr>
      <w:tr>
        <w:trPr>
          <w:trHeight w:val="244"/>
        </w:trPr>
        <w:tc>
          <w:tcPr>
            <w:tcW w:w="7440" w:type="dxa"/>
            <w:vAlign w:val="bottom"/>
            <w:tcBorders>
              <w:bottom w:val="single" w:sz="8" w:color="D4EFF4"/>
            </w:tcBorders>
            <w:gridSpan w:val="2"/>
          </w:tcPr>
          <w:p>
            <w:pPr>
              <w:ind w:left="200"/>
              <w:spacing w:after="0"/>
              <w:rPr>
                <w:sz w:val="20"/>
                <w:szCs w:val="20"/>
                <w:color w:val="auto"/>
              </w:rPr>
            </w:pPr>
            <w:r>
              <w:rPr>
                <w:rFonts w:ascii="Times New Roman" w:cs="Times New Roman" w:eastAsia="Times New Roman" w:hAnsi="Times New Roman"/>
                <w:sz w:val="20"/>
                <w:szCs w:val="20"/>
                <w:color w:val="auto"/>
              </w:rPr>
              <w:t>Manufacturing costs</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23,013</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6,580</w:t>
            </w:r>
          </w:p>
        </w:tc>
        <w:tc>
          <w:tcPr>
            <w:tcW w:w="120" w:type="dxa"/>
            <w:vAlign w:val="bottom"/>
            <w:tcBorders>
              <w:bottom w:val="single" w:sz="8" w:color="D4EFF4"/>
            </w:tcBorders>
          </w:tcPr>
          <w:p>
            <w:pPr>
              <w:spacing w:after="0"/>
              <w:rPr>
                <w:sz w:val="21"/>
                <w:szCs w:val="21"/>
                <w:color w:val="auto"/>
              </w:rPr>
            </w:pPr>
          </w:p>
        </w:tc>
      </w:tr>
      <w:tr>
        <w:trPr>
          <w:trHeight w:val="225"/>
        </w:trPr>
        <w:tc>
          <w:tcPr>
            <w:tcW w:w="6360" w:type="dxa"/>
            <w:vAlign w:val="bottom"/>
            <w:shd w:val="clear" w:color="auto" w:fill="D4EFF4"/>
          </w:tcPr>
          <w:p>
            <w:pPr>
              <w:ind w:left="200"/>
              <w:spacing w:after="0" w:line="225" w:lineRule="exact"/>
              <w:rPr>
                <w:sz w:val="20"/>
                <w:szCs w:val="20"/>
                <w:color w:val="auto"/>
              </w:rPr>
            </w:pPr>
            <w:r>
              <w:rPr>
                <w:rFonts w:ascii="Times New Roman" w:cs="Times New Roman" w:eastAsia="Times New Roman" w:hAnsi="Times New Roman"/>
                <w:sz w:val="20"/>
                <w:szCs w:val="20"/>
                <w:color w:val="auto"/>
              </w:rPr>
              <w:t>Personnel expenses</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18,343</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jc w:val="right"/>
              <w:spacing w:after="0" w:line="225" w:lineRule="exact"/>
              <w:rPr>
                <w:sz w:val="20"/>
                <w:szCs w:val="20"/>
                <w:color w:val="auto"/>
              </w:rPr>
            </w:pPr>
            <w:r>
              <w:rPr>
                <w:rFonts w:ascii="Times New Roman" w:cs="Times New Roman" w:eastAsia="Times New Roman" w:hAnsi="Times New Roman"/>
                <w:sz w:val="20"/>
                <w:szCs w:val="20"/>
                <w:color w:val="auto"/>
              </w:rPr>
              <w:t>9,911</w:t>
            </w:r>
          </w:p>
        </w:tc>
        <w:tc>
          <w:tcPr>
            <w:tcW w:w="120" w:type="dxa"/>
            <w:vAlign w:val="bottom"/>
            <w:shd w:val="clear" w:color="auto" w:fill="D4EFF4"/>
          </w:tcPr>
          <w:p>
            <w:pPr>
              <w:spacing w:after="0"/>
              <w:rPr>
                <w:sz w:val="19"/>
                <w:szCs w:val="19"/>
                <w:color w:val="auto"/>
              </w:rPr>
            </w:pPr>
          </w:p>
        </w:tc>
      </w:tr>
      <w:tr>
        <w:trPr>
          <w:trHeight w:val="269"/>
        </w:trPr>
        <w:tc>
          <w:tcPr>
            <w:tcW w:w="7440" w:type="dxa"/>
            <w:vAlign w:val="bottom"/>
            <w:tcBorders>
              <w:bottom w:val="single" w:sz="8" w:color="D4EFF4"/>
            </w:tcBorders>
            <w:gridSpan w:val="2"/>
          </w:tcPr>
          <w:p>
            <w:pPr>
              <w:ind w:left="200"/>
              <w:spacing w:after="0"/>
              <w:rPr>
                <w:sz w:val="20"/>
                <w:szCs w:val="20"/>
                <w:color w:val="auto"/>
              </w:rPr>
            </w:pPr>
            <w:r>
              <w:rPr>
                <w:rFonts w:ascii="Times New Roman" w:cs="Times New Roman" w:eastAsia="Times New Roman" w:hAnsi="Times New Roman"/>
                <w:sz w:val="20"/>
                <w:szCs w:val="20"/>
                <w:color w:val="auto"/>
              </w:rPr>
              <w:t>Professional fees and other</w:t>
            </w:r>
          </w:p>
        </w:tc>
        <w:tc>
          <w:tcPr>
            <w:tcW w:w="20" w:type="dxa"/>
            <w:vAlign w:val="bottom"/>
            <w:tcBorders>
              <w:bottom w:val="single" w:sz="8" w:color="D4EFF4"/>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5,630</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D4EFF4"/>
            </w:tcBorders>
          </w:tcPr>
          <w:p>
            <w:pPr>
              <w:spacing w:after="0"/>
              <w:rPr>
                <w:sz w:val="22"/>
                <w:szCs w:val="22"/>
                <w:color w:val="auto"/>
              </w:rPr>
            </w:pPr>
          </w:p>
        </w:tc>
        <w:tc>
          <w:tcPr>
            <w:tcW w:w="20" w:type="dxa"/>
            <w:vAlign w:val="bottom"/>
            <w:tcBorders>
              <w:bottom w:val="single" w:sz="8" w:color="D4EFF4"/>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4,767</w:t>
            </w:r>
          </w:p>
        </w:tc>
        <w:tc>
          <w:tcPr>
            <w:tcW w:w="120" w:type="dxa"/>
            <w:vAlign w:val="bottom"/>
            <w:tcBorders>
              <w:bottom w:val="single" w:sz="8" w:color="auto"/>
            </w:tcBorders>
          </w:tcPr>
          <w:p>
            <w:pPr>
              <w:spacing w:after="0"/>
              <w:rPr>
                <w:sz w:val="22"/>
                <w:szCs w:val="22"/>
                <w:color w:val="auto"/>
              </w:rPr>
            </w:pPr>
          </w:p>
        </w:tc>
      </w:tr>
      <w:tr>
        <w:trPr>
          <w:trHeight w:val="214"/>
        </w:trPr>
        <w:tc>
          <w:tcPr>
            <w:tcW w:w="6360" w:type="dxa"/>
            <w:vAlign w:val="bottom"/>
            <w:tcBorders>
              <w:top w:val="single" w:sz="8" w:color="D4EFF4"/>
            </w:tcBorders>
            <w:shd w:val="clear" w:color="auto" w:fill="D4EFF4"/>
          </w:tcPr>
          <w:p>
            <w:pPr>
              <w:ind w:left="300"/>
              <w:spacing w:after="0" w:line="214" w:lineRule="exact"/>
              <w:rPr>
                <w:sz w:val="20"/>
                <w:szCs w:val="20"/>
                <w:color w:val="auto"/>
              </w:rPr>
            </w:pPr>
            <w:r>
              <w:rPr>
                <w:rFonts w:ascii="Times New Roman" w:cs="Times New Roman" w:eastAsia="Times New Roman" w:hAnsi="Times New Roman"/>
                <w:sz w:val="20"/>
                <w:szCs w:val="20"/>
                <w:color w:val="auto"/>
              </w:rPr>
              <w:t>Total research and development expenses</w:t>
            </w:r>
          </w:p>
        </w:tc>
        <w:tc>
          <w:tcPr>
            <w:tcW w:w="108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00" w:type="dxa"/>
            <w:vAlign w:val="bottom"/>
            <w:tcBorders>
              <w:top w:val="single" w:sz="8" w:color="D4EFF4"/>
            </w:tcBorders>
            <w:shd w:val="clear" w:color="auto" w:fill="D4EFF4"/>
          </w:tcPr>
          <w:p>
            <w:pPr>
              <w:spacing w:after="0"/>
              <w:rPr>
                <w:sz w:val="18"/>
                <w:szCs w:val="18"/>
                <w:color w:val="auto"/>
              </w:rPr>
            </w:pPr>
          </w:p>
        </w:tc>
        <w:tc>
          <w:tcPr>
            <w:tcW w:w="120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136,806</w:t>
            </w:r>
          </w:p>
        </w:tc>
        <w:tc>
          <w:tcPr>
            <w:tcW w:w="100" w:type="dxa"/>
            <w:vAlign w:val="bottom"/>
            <w:tcBorders>
              <w:top w:val="single" w:sz="8" w:color="D4EFF4"/>
            </w:tcBorders>
            <w:shd w:val="clear" w:color="auto" w:fill="D4EFF4"/>
          </w:tcPr>
          <w:p>
            <w:pPr>
              <w:spacing w:after="0"/>
              <w:rPr>
                <w:sz w:val="18"/>
                <w:szCs w:val="18"/>
                <w:color w:val="auto"/>
              </w:rPr>
            </w:pPr>
          </w:p>
        </w:tc>
        <w:tc>
          <w:tcPr>
            <w:tcW w:w="140" w:type="dxa"/>
            <w:vAlign w:val="bottom"/>
            <w:tcBorders>
              <w:top w:val="single" w:sz="8" w:color="D4EFF4"/>
            </w:tcBorders>
            <w:shd w:val="clear" w:color="auto" w:fill="D4EFF4"/>
          </w:tcPr>
          <w:p>
            <w:pPr>
              <w:spacing w:after="0"/>
              <w:rPr>
                <w:sz w:val="18"/>
                <w:szCs w:val="18"/>
                <w:color w:val="auto"/>
              </w:rPr>
            </w:pPr>
          </w:p>
        </w:tc>
        <w:tc>
          <w:tcPr>
            <w:tcW w:w="20" w:type="dxa"/>
            <w:vAlign w:val="bottom"/>
            <w:tcBorders>
              <w:top w:val="single" w:sz="8" w:color="D4EFF4"/>
            </w:tcBorders>
            <w:shd w:val="clear" w:color="auto" w:fill="D4EFF4"/>
          </w:tcPr>
          <w:p>
            <w:pPr>
              <w:spacing w:after="0"/>
              <w:rPr>
                <w:sz w:val="18"/>
                <w:szCs w:val="18"/>
                <w:color w:val="auto"/>
              </w:rPr>
            </w:pPr>
          </w:p>
        </w:tc>
        <w:tc>
          <w:tcPr>
            <w:tcW w:w="120" w:type="dxa"/>
            <w:vAlign w:val="bottom"/>
            <w:tcBorders>
              <w:top w:val="single" w:sz="8" w:color="D4EFF4"/>
            </w:tcBorders>
            <w:shd w:val="clear" w:color="auto" w:fill="D4EFF4"/>
          </w:tcPr>
          <w:p>
            <w:pPr>
              <w:spacing w:after="0"/>
              <w:rPr>
                <w:sz w:val="18"/>
                <w:szCs w:val="18"/>
                <w:color w:val="auto"/>
              </w:rPr>
            </w:pPr>
          </w:p>
        </w:tc>
        <w:tc>
          <w:tcPr>
            <w:tcW w:w="1180" w:type="dxa"/>
            <w:vAlign w:val="bottom"/>
            <w:tcBorders>
              <w:top w:val="single" w:sz="8" w:color="D4EFF4"/>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62,966</w:t>
            </w:r>
          </w:p>
        </w:tc>
        <w:tc>
          <w:tcPr>
            <w:tcW w:w="120" w:type="dxa"/>
            <w:vAlign w:val="bottom"/>
            <w:tcBorders>
              <w:top w:val="single" w:sz="8" w:color="D4EFF4"/>
            </w:tcBorders>
            <w:shd w:val="clear" w:color="auto" w:fill="D4EFF4"/>
          </w:tcPr>
          <w:p>
            <w:pPr>
              <w:spacing w:after="0"/>
              <w:rPr>
                <w:sz w:val="18"/>
                <w:szCs w:val="18"/>
                <w:color w:val="auto"/>
              </w:rPr>
            </w:pPr>
          </w:p>
        </w:tc>
      </w:tr>
      <w:tr>
        <w:trPr>
          <w:trHeight w:val="244"/>
        </w:trPr>
        <w:tc>
          <w:tcPr>
            <w:tcW w:w="7440" w:type="dxa"/>
            <w:vAlign w:val="bottom"/>
            <w:tcBorders>
              <w:bottom w:val="single" w:sz="8" w:color="D4EFF4"/>
            </w:tcBorders>
            <w:gridSpan w:val="2"/>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r>
      <w:tr>
        <w:trPr>
          <w:trHeight w:val="224"/>
        </w:trPr>
        <w:tc>
          <w:tcPr>
            <w:tcW w:w="636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Personnel expenses</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15,188</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10,842</w:t>
            </w:r>
          </w:p>
        </w:tc>
        <w:tc>
          <w:tcPr>
            <w:tcW w:w="120" w:type="dxa"/>
            <w:vAlign w:val="bottom"/>
            <w:shd w:val="clear" w:color="auto" w:fill="D4EFF4"/>
          </w:tcPr>
          <w:p>
            <w:pPr>
              <w:spacing w:after="0"/>
              <w:rPr>
                <w:sz w:val="19"/>
                <w:szCs w:val="19"/>
                <w:color w:val="auto"/>
              </w:rPr>
            </w:pPr>
          </w:p>
        </w:tc>
      </w:tr>
      <w:tr>
        <w:trPr>
          <w:trHeight w:val="245"/>
        </w:trPr>
        <w:tc>
          <w:tcPr>
            <w:tcW w:w="63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Professional fees</w:t>
            </w:r>
          </w:p>
        </w:tc>
        <w:tc>
          <w:tcPr>
            <w:tcW w:w="10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6,718</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4,349</w:t>
            </w:r>
          </w:p>
        </w:tc>
        <w:tc>
          <w:tcPr>
            <w:tcW w:w="120" w:type="dxa"/>
            <w:vAlign w:val="bottom"/>
            <w:tcBorders>
              <w:bottom w:val="single" w:sz="8" w:color="D4EFF4"/>
            </w:tcBorders>
          </w:tcPr>
          <w:p>
            <w:pPr>
              <w:spacing w:after="0"/>
              <w:rPr>
                <w:sz w:val="21"/>
                <w:szCs w:val="21"/>
                <w:color w:val="auto"/>
              </w:rPr>
            </w:pPr>
          </w:p>
        </w:tc>
      </w:tr>
      <w:tr>
        <w:trPr>
          <w:trHeight w:val="244"/>
        </w:trPr>
        <w:tc>
          <w:tcPr>
            <w:tcW w:w="6360" w:type="dxa"/>
            <w:vAlign w:val="bottom"/>
            <w:tcBorders>
              <w:bottom w:val="single" w:sz="8" w:color="D4EFF4"/>
            </w:tcBorders>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Other</w:t>
            </w:r>
          </w:p>
        </w:tc>
        <w:tc>
          <w:tcPr>
            <w:tcW w:w="108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00" w:type="dxa"/>
            <w:vAlign w:val="bottom"/>
            <w:tcBorders>
              <w:bottom w:val="single" w:sz="8" w:color="auto"/>
            </w:tcBorders>
            <w:shd w:val="clear" w:color="auto" w:fill="D4EFF4"/>
          </w:tcPr>
          <w:p>
            <w:pPr>
              <w:spacing w:after="0"/>
              <w:rPr>
                <w:sz w:val="21"/>
                <w:szCs w:val="21"/>
                <w:color w:val="auto"/>
              </w:rPr>
            </w:pPr>
          </w:p>
        </w:tc>
        <w:tc>
          <w:tcPr>
            <w:tcW w:w="120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4,503</w:t>
            </w:r>
          </w:p>
        </w:tc>
        <w:tc>
          <w:tcPr>
            <w:tcW w:w="100" w:type="dxa"/>
            <w:vAlign w:val="bottom"/>
            <w:tcBorders>
              <w:bottom w:val="single" w:sz="8" w:color="auto"/>
            </w:tcBorders>
            <w:shd w:val="clear" w:color="auto" w:fill="D4EFF4"/>
          </w:tcPr>
          <w:p>
            <w:pPr>
              <w:spacing w:after="0"/>
              <w:rPr>
                <w:sz w:val="21"/>
                <w:szCs w:val="21"/>
                <w:color w:val="auto"/>
              </w:rPr>
            </w:pPr>
          </w:p>
        </w:tc>
        <w:tc>
          <w:tcPr>
            <w:tcW w:w="140" w:type="dxa"/>
            <w:vAlign w:val="bottom"/>
            <w:tcBorders>
              <w:bottom w:val="single" w:sz="8" w:color="D4EFF4"/>
            </w:tcBorders>
            <w:shd w:val="clear" w:color="auto" w:fill="D4EFF4"/>
          </w:tcPr>
          <w:p>
            <w:pPr>
              <w:spacing w:after="0"/>
              <w:rPr>
                <w:sz w:val="21"/>
                <w:szCs w:val="21"/>
                <w:color w:val="auto"/>
              </w:rPr>
            </w:pPr>
          </w:p>
        </w:tc>
        <w:tc>
          <w:tcPr>
            <w:tcW w:w="20" w:type="dxa"/>
            <w:vAlign w:val="bottom"/>
            <w:tcBorders>
              <w:bottom w:val="single" w:sz="8" w:color="D4EFF4"/>
            </w:tcBorders>
            <w:shd w:val="clear" w:color="auto" w:fill="D4EFF4"/>
          </w:tcPr>
          <w:p>
            <w:pPr>
              <w:spacing w:after="0"/>
              <w:rPr>
                <w:sz w:val="21"/>
                <w:szCs w:val="21"/>
                <w:color w:val="auto"/>
              </w:rPr>
            </w:pPr>
          </w:p>
        </w:tc>
        <w:tc>
          <w:tcPr>
            <w:tcW w:w="120" w:type="dxa"/>
            <w:vAlign w:val="bottom"/>
            <w:tcBorders>
              <w:bottom w:val="single" w:sz="8" w:color="auto"/>
            </w:tcBorders>
            <w:shd w:val="clear" w:color="auto" w:fill="D4EFF4"/>
          </w:tcPr>
          <w:p>
            <w:pPr>
              <w:spacing w:after="0"/>
              <w:rPr>
                <w:sz w:val="21"/>
                <w:szCs w:val="21"/>
                <w:color w:val="auto"/>
              </w:rPr>
            </w:pPr>
          </w:p>
        </w:tc>
        <w:tc>
          <w:tcPr>
            <w:tcW w:w="1180" w:type="dxa"/>
            <w:vAlign w:val="bottom"/>
            <w:tcBorders>
              <w:bottom w:val="single" w:sz="8" w:color="auto"/>
            </w:tcBorders>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1,977</w:t>
            </w:r>
          </w:p>
        </w:tc>
        <w:tc>
          <w:tcPr>
            <w:tcW w:w="120" w:type="dxa"/>
            <w:vAlign w:val="bottom"/>
            <w:tcBorders>
              <w:bottom w:val="single" w:sz="8" w:color="auto"/>
            </w:tcBorders>
            <w:shd w:val="clear" w:color="auto" w:fill="D4EFF4"/>
          </w:tcPr>
          <w:p>
            <w:pPr>
              <w:spacing w:after="0"/>
              <w:rPr>
                <w:sz w:val="21"/>
                <w:szCs w:val="21"/>
                <w:color w:val="auto"/>
              </w:rPr>
            </w:pPr>
          </w:p>
        </w:tc>
      </w:tr>
      <w:tr>
        <w:trPr>
          <w:trHeight w:val="239"/>
        </w:trPr>
        <w:tc>
          <w:tcPr>
            <w:tcW w:w="7440" w:type="dxa"/>
            <w:vAlign w:val="bottom"/>
            <w:tcBorders>
              <w:bottom w:val="single" w:sz="8" w:color="D4EFF4"/>
            </w:tcBorders>
            <w:gridSpan w:val="2"/>
          </w:tcPr>
          <w:p>
            <w:pPr>
              <w:ind w:left="300"/>
              <w:spacing w:after="0" w:line="214" w:lineRule="exact"/>
              <w:rPr>
                <w:sz w:val="20"/>
                <w:szCs w:val="20"/>
                <w:color w:val="auto"/>
              </w:rPr>
            </w:pPr>
            <w:r>
              <w:rPr>
                <w:rFonts w:ascii="Times New Roman" w:cs="Times New Roman" w:eastAsia="Times New Roman" w:hAnsi="Times New Roman"/>
                <w:sz w:val="20"/>
                <w:szCs w:val="20"/>
                <w:color w:val="auto"/>
              </w:rPr>
              <w:t>Total general and administrative expenses</w:t>
            </w:r>
          </w:p>
        </w:tc>
        <w:tc>
          <w:tcPr>
            <w:tcW w:w="20" w:type="dxa"/>
            <w:vAlign w:val="bottom"/>
            <w:tcBorders>
              <w:bottom w:val="single" w:sz="8" w:color="D4EFF4"/>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26,409</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D4EFF4"/>
            </w:tcBorders>
          </w:tcPr>
          <w:p>
            <w:pPr>
              <w:spacing w:after="0"/>
              <w:rPr>
                <w:sz w:val="20"/>
                <w:szCs w:val="20"/>
                <w:color w:val="auto"/>
              </w:rPr>
            </w:pPr>
          </w:p>
        </w:tc>
        <w:tc>
          <w:tcPr>
            <w:tcW w:w="20" w:type="dxa"/>
            <w:vAlign w:val="bottom"/>
            <w:tcBorders>
              <w:bottom w:val="single" w:sz="8" w:color="D4EFF4"/>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214" w:lineRule="exact"/>
              <w:rPr>
                <w:sz w:val="20"/>
                <w:szCs w:val="20"/>
                <w:color w:val="auto"/>
              </w:rPr>
            </w:pPr>
            <w:r>
              <w:rPr>
                <w:rFonts w:ascii="Times New Roman" w:cs="Times New Roman" w:eastAsia="Times New Roman" w:hAnsi="Times New Roman"/>
                <w:sz w:val="20"/>
                <w:szCs w:val="20"/>
                <w:color w:val="auto"/>
              </w:rPr>
              <w:t>17,168</w:t>
            </w:r>
          </w:p>
        </w:tc>
        <w:tc>
          <w:tcPr>
            <w:tcW w:w="120" w:type="dxa"/>
            <w:vAlign w:val="bottom"/>
            <w:tcBorders>
              <w:bottom w:val="single" w:sz="8" w:color="auto"/>
            </w:tcBorders>
          </w:tcPr>
          <w:p>
            <w:pPr>
              <w:spacing w:after="0"/>
              <w:rPr>
                <w:sz w:val="20"/>
                <w:szCs w:val="20"/>
                <w:color w:val="auto"/>
              </w:rPr>
            </w:pPr>
          </w:p>
        </w:tc>
      </w:tr>
      <w:tr>
        <w:trPr>
          <w:trHeight w:val="234"/>
        </w:trPr>
        <w:tc>
          <w:tcPr>
            <w:tcW w:w="6360" w:type="dxa"/>
            <w:vAlign w:val="bottom"/>
            <w:tcBorders>
              <w:top w:val="single" w:sz="8" w:color="D4EFF4"/>
              <w:bottom w:val="single" w:sz="8" w:color="D4EFF4"/>
            </w:tcBorders>
            <w:shd w:val="clear" w:color="auto" w:fill="D4EFF4"/>
          </w:tcPr>
          <w:p>
            <w:pPr>
              <w:ind w:left="400"/>
              <w:spacing w:after="0" w:line="214" w:lineRule="exact"/>
              <w:rPr>
                <w:sz w:val="20"/>
                <w:szCs w:val="20"/>
                <w:color w:val="auto"/>
              </w:rPr>
            </w:pPr>
            <w:r>
              <w:rPr>
                <w:rFonts w:ascii="Times New Roman" w:cs="Times New Roman" w:eastAsia="Times New Roman" w:hAnsi="Times New Roman"/>
                <w:sz w:val="20"/>
                <w:szCs w:val="20"/>
                <w:color w:val="auto"/>
              </w:rPr>
              <w:t>Total operating expenses</w:t>
            </w:r>
          </w:p>
        </w:tc>
        <w:tc>
          <w:tcPr>
            <w:tcW w:w="108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120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163,215</w:t>
            </w: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14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20" w:type="dxa"/>
            <w:vAlign w:val="bottom"/>
            <w:tcBorders>
              <w:top w:val="single" w:sz="8" w:color="D4EFF4"/>
              <w:bottom w:val="single" w:sz="8" w:color="auto"/>
            </w:tcBorders>
            <w:shd w:val="clear" w:color="auto" w:fill="D4EFF4"/>
          </w:tcPr>
          <w:p>
            <w:pPr>
              <w:spacing w:after="0"/>
              <w:rPr>
                <w:sz w:val="20"/>
                <w:szCs w:val="20"/>
                <w:color w:val="auto"/>
              </w:rPr>
            </w:pPr>
          </w:p>
        </w:tc>
        <w:tc>
          <w:tcPr>
            <w:tcW w:w="1180" w:type="dxa"/>
            <w:vAlign w:val="bottom"/>
            <w:tcBorders>
              <w:top w:val="single" w:sz="8" w:color="D4EFF4"/>
              <w:bottom w:val="single" w:sz="8" w:color="auto"/>
            </w:tcBorders>
            <w:shd w:val="clear" w:color="auto" w:fill="D4EFF4"/>
          </w:tcPr>
          <w:p>
            <w:pPr>
              <w:jc w:val="right"/>
              <w:spacing w:after="0" w:line="214" w:lineRule="exact"/>
              <w:rPr>
                <w:sz w:val="20"/>
                <w:szCs w:val="20"/>
                <w:color w:val="auto"/>
              </w:rPr>
            </w:pPr>
            <w:r>
              <w:rPr>
                <w:rFonts w:ascii="Times New Roman" w:cs="Times New Roman" w:eastAsia="Times New Roman" w:hAnsi="Times New Roman"/>
                <w:sz w:val="20"/>
                <w:szCs w:val="20"/>
                <w:color w:val="auto"/>
              </w:rPr>
              <w:t>80,134</w:t>
            </w:r>
          </w:p>
        </w:tc>
        <w:tc>
          <w:tcPr>
            <w:tcW w:w="120" w:type="dxa"/>
            <w:vAlign w:val="bottom"/>
            <w:tcBorders>
              <w:top w:val="single" w:sz="8" w:color="D4EFF4"/>
              <w:bottom w:val="single" w:sz="8" w:color="auto"/>
            </w:tcBorders>
            <w:shd w:val="clear" w:color="auto" w:fill="D4EFF4"/>
          </w:tcPr>
          <w:p>
            <w:pPr>
              <w:spacing w:after="0"/>
              <w:rPr>
                <w:sz w:val="20"/>
                <w:szCs w:val="20"/>
                <w:color w:val="auto"/>
              </w:rPr>
            </w:pPr>
          </w:p>
        </w:tc>
      </w:tr>
      <w:tr>
        <w:trPr>
          <w:trHeight w:val="213"/>
        </w:trPr>
        <w:tc>
          <w:tcPr>
            <w:tcW w:w="7440" w:type="dxa"/>
            <w:vAlign w:val="bottom"/>
            <w:tcBorders>
              <w:bottom w:val="single" w:sz="8" w:color="D4EFF4"/>
            </w:tcBorders>
            <w:gridSpan w:val="2"/>
          </w:tcPr>
          <w:p>
            <w:pPr>
              <w:spacing w:after="0" w:line="213" w:lineRule="exact"/>
              <w:rPr>
                <w:sz w:val="20"/>
                <w:szCs w:val="20"/>
                <w:color w:val="auto"/>
              </w:rPr>
            </w:pPr>
            <w:r>
              <w:rPr>
                <w:rFonts w:ascii="Times New Roman" w:cs="Times New Roman" w:eastAsia="Times New Roman" w:hAnsi="Times New Roman"/>
                <w:sz w:val="20"/>
                <w:szCs w:val="20"/>
                <w:color w:val="auto"/>
              </w:rPr>
              <w:t>Loss from operations</w:t>
            </w:r>
          </w:p>
        </w:tc>
        <w:tc>
          <w:tcPr>
            <w:tcW w:w="20" w:type="dxa"/>
            <w:vAlign w:val="bottom"/>
            <w:tcBorders>
              <w:bottom w:val="single" w:sz="8" w:color="D4EFF4"/>
            </w:tcBorders>
          </w:tcPr>
          <w:p>
            <w:pPr>
              <w:spacing w:after="0"/>
              <w:rPr>
                <w:sz w:val="18"/>
                <w:szCs w:val="18"/>
                <w:color w:val="auto"/>
              </w:rPr>
            </w:pPr>
          </w:p>
        </w:tc>
        <w:tc>
          <w:tcPr>
            <w:tcW w:w="100" w:type="dxa"/>
            <w:vAlign w:val="bottom"/>
            <w:tcBorders>
              <w:bottom w:val="single" w:sz="8" w:color="D4EFF4"/>
            </w:tcBorders>
          </w:tcPr>
          <w:p>
            <w:pPr>
              <w:spacing w:after="0"/>
              <w:rPr>
                <w:sz w:val="18"/>
                <w:szCs w:val="18"/>
                <w:color w:val="auto"/>
              </w:rPr>
            </w:pPr>
          </w:p>
        </w:tc>
        <w:tc>
          <w:tcPr>
            <w:tcW w:w="1300" w:type="dxa"/>
            <w:vAlign w:val="bottom"/>
            <w:tcBorders>
              <w:bottom w:val="single" w:sz="8" w:color="D4EFF4"/>
            </w:tcBorders>
            <w:gridSpan w:val="2"/>
          </w:tcPr>
          <w:p>
            <w:pPr>
              <w:jc w:val="right"/>
              <w:ind w:right="40"/>
              <w:spacing w:after="0" w:line="213" w:lineRule="exact"/>
              <w:rPr>
                <w:sz w:val="20"/>
                <w:szCs w:val="20"/>
                <w:color w:val="auto"/>
              </w:rPr>
            </w:pPr>
            <w:r>
              <w:rPr>
                <w:rFonts w:ascii="Times New Roman" w:cs="Times New Roman" w:eastAsia="Times New Roman" w:hAnsi="Times New Roman"/>
                <w:sz w:val="20"/>
                <w:szCs w:val="20"/>
                <w:color w:val="auto"/>
              </w:rPr>
              <w:t>(160,361 )</w:t>
            </w:r>
          </w:p>
        </w:tc>
        <w:tc>
          <w:tcPr>
            <w:tcW w:w="140" w:type="dxa"/>
            <w:vAlign w:val="bottom"/>
            <w:tcBorders>
              <w:bottom w:val="single" w:sz="8" w:color="D4EFF4"/>
            </w:tcBorders>
          </w:tcPr>
          <w:p>
            <w:pPr>
              <w:spacing w:after="0"/>
              <w:rPr>
                <w:sz w:val="18"/>
                <w:szCs w:val="18"/>
                <w:color w:val="auto"/>
              </w:rPr>
            </w:pPr>
          </w:p>
        </w:tc>
        <w:tc>
          <w:tcPr>
            <w:tcW w:w="20" w:type="dxa"/>
            <w:vAlign w:val="bottom"/>
            <w:tcBorders>
              <w:bottom w:val="single" w:sz="8" w:color="D4EFF4"/>
            </w:tcBorders>
          </w:tcPr>
          <w:p>
            <w:pPr>
              <w:spacing w:after="0"/>
              <w:rPr>
                <w:sz w:val="18"/>
                <w:szCs w:val="18"/>
                <w:color w:val="auto"/>
              </w:rPr>
            </w:pPr>
          </w:p>
        </w:tc>
        <w:tc>
          <w:tcPr>
            <w:tcW w:w="120" w:type="dxa"/>
            <w:vAlign w:val="bottom"/>
            <w:tcBorders>
              <w:bottom w:val="single" w:sz="8" w:color="D4EFF4"/>
            </w:tcBorders>
          </w:tcPr>
          <w:p>
            <w:pPr>
              <w:spacing w:after="0"/>
              <w:rPr>
                <w:sz w:val="18"/>
                <w:szCs w:val="18"/>
                <w:color w:val="auto"/>
              </w:rPr>
            </w:pPr>
          </w:p>
        </w:tc>
        <w:tc>
          <w:tcPr>
            <w:tcW w:w="1300" w:type="dxa"/>
            <w:vAlign w:val="bottom"/>
            <w:tcBorders>
              <w:bottom w:val="single" w:sz="8" w:color="D4EFF4"/>
            </w:tcBorders>
            <w:gridSpan w:val="2"/>
          </w:tcPr>
          <w:p>
            <w:pPr>
              <w:jc w:val="right"/>
              <w:ind w:right="40"/>
              <w:spacing w:after="0" w:line="213" w:lineRule="exact"/>
              <w:rPr>
                <w:sz w:val="20"/>
                <w:szCs w:val="20"/>
                <w:color w:val="auto"/>
              </w:rPr>
            </w:pPr>
            <w:r>
              <w:rPr>
                <w:rFonts w:ascii="Times New Roman" w:cs="Times New Roman" w:eastAsia="Times New Roman" w:hAnsi="Times New Roman"/>
                <w:sz w:val="20"/>
                <w:szCs w:val="20"/>
                <w:color w:val="auto"/>
              </w:rPr>
              <w:t>(77,764 )</w:t>
            </w:r>
          </w:p>
        </w:tc>
      </w:tr>
      <w:tr>
        <w:trPr>
          <w:trHeight w:val="224"/>
        </w:trPr>
        <w:tc>
          <w:tcPr>
            <w:tcW w:w="6360" w:type="dxa"/>
            <w:vAlign w:val="bottom"/>
            <w:shd w:val="clear" w:color="auto" w:fill="D4EFF4"/>
          </w:tcPr>
          <w:p>
            <w:pPr>
              <w:spacing w:after="0" w:line="224" w:lineRule="exact"/>
              <w:rPr>
                <w:sz w:val="20"/>
                <w:szCs w:val="20"/>
                <w:color w:val="auto"/>
              </w:rPr>
            </w:pPr>
            <w:r>
              <w:rPr>
                <w:rFonts w:ascii="Times New Roman" w:cs="Times New Roman" w:eastAsia="Times New Roman" w:hAnsi="Times New Roman"/>
                <w:sz w:val="20"/>
                <w:szCs w:val="20"/>
                <w:color w:val="auto"/>
              </w:rPr>
              <w:t>Other income (expense):</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r>
      <w:tr>
        <w:trPr>
          <w:trHeight w:val="245"/>
        </w:trPr>
        <w:tc>
          <w:tcPr>
            <w:tcW w:w="6360" w:type="dxa"/>
            <w:vAlign w:val="bottom"/>
            <w:tcBorders>
              <w:bottom w:val="single" w:sz="8" w:color="D4EFF4"/>
            </w:tcBorders>
          </w:tcPr>
          <w:p>
            <w:pPr>
              <w:ind w:left="200"/>
              <w:spacing w:after="0"/>
              <w:rPr>
                <w:sz w:val="20"/>
                <w:szCs w:val="20"/>
                <w:color w:val="auto"/>
              </w:rPr>
            </w:pPr>
            <w:r>
              <w:rPr>
                <w:rFonts w:ascii="Times New Roman" w:cs="Times New Roman" w:eastAsia="Times New Roman" w:hAnsi="Times New Roman"/>
                <w:sz w:val="20"/>
                <w:szCs w:val="20"/>
                <w:color w:val="auto"/>
              </w:rPr>
              <w:t>Change in fair value of preferred stock tranche right liability</w:t>
            </w:r>
          </w:p>
        </w:tc>
        <w:tc>
          <w:tcPr>
            <w:tcW w:w="108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00" w:type="dxa"/>
            <w:vAlign w:val="bottom"/>
            <w:tcBorders>
              <w:bottom w:val="single" w:sz="8" w:color="D4EFF4"/>
            </w:tcBorders>
          </w:tcPr>
          <w:p>
            <w:pPr>
              <w:spacing w:after="0"/>
              <w:rPr>
                <w:sz w:val="21"/>
                <w:szCs w:val="21"/>
                <w:color w:val="auto"/>
              </w:rPr>
            </w:pPr>
          </w:p>
        </w:tc>
        <w:tc>
          <w:tcPr>
            <w:tcW w:w="120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Borders>
              <w:bottom w:val="single" w:sz="8" w:color="D4EFF4"/>
            </w:tcBorders>
          </w:tcPr>
          <w:p>
            <w:pPr>
              <w:spacing w:after="0"/>
              <w:rPr>
                <w:sz w:val="21"/>
                <w:szCs w:val="21"/>
                <w:color w:val="auto"/>
              </w:rPr>
            </w:pPr>
          </w:p>
        </w:tc>
        <w:tc>
          <w:tcPr>
            <w:tcW w:w="140" w:type="dxa"/>
            <w:vAlign w:val="bottom"/>
            <w:tcBorders>
              <w:bottom w:val="single" w:sz="8" w:color="D4EFF4"/>
            </w:tcBorders>
          </w:tcPr>
          <w:p>
            <w:pPr>
              <w:spacing w:after="0"/>
              <w:rPr>
                <w:sz w:val="21"/>
                <w:szCs w:val="21"/>
                <w:color w:val="auto"/>
              </w:rPr>
            </w:pPr>
          </w:p>
        </w:tc>
        <w:tc>
          <w:tcPr>
            <w:tcW w:w="20" w:type="dxa"/>
            <w:vAlign w:val="bottom"/>
            <w:tcBorders>
              <w:bottom w:val="single" w:sz="8" w:color="D4EFF4"/>
            </w:tcBorders>
          </w:tcPr>
          <w:p>
            <w:pPr>
              <w:spacing w:after="0"/>
              <w:rPr>
                <w:sz w:val="21"/>
                <w:szCs w:val="21"/>
                <w:color w:val="auto"/>
              </w:rPr>
            </w:pPr>
          </w:p>
        </w:tc>
        <w:tc>
          <w:tcPr>
            <w:tcW w:w="120" w:type="dxa"/>
            <w:vAlign w:val="bottom"/>
            <w:tcBorders>
              <w:bottom w:val="single" w:sz="8" w:color="D4EFF4"/>
            </w:tcBorders>
          </w:tcPr>
          <w:p>
            <w:pPr>
              <w:spacing w:after="0"/>
              <w:rPr>
                <w:sz w:val="21"/>
                <w:szCs w:val="21"/>
                <w:color w:val="auto"/>
              </w:rPr>
            </w:pPr>
          </w:p>
        </w:tc>
        <w:tc>
          <w:tcPr>
            <w:tcW w:w="1180" w:type="dxa"/>
            <w:vAlign w:val="bottom"/>
            <w:tcBorders>
              <w:bottom w:val="single" w:sz="8" w:color="D4EFF4"/>
            </w:tcBorders>
          </w:tcPr>
          <w:p>
            <w:pPr>
              <w:jc w:val="right"/>
              <w:spacing w:after="0"/>
              <w:rPr>
                <w:sz w:val="20"/>
                <w:szCs w:val="20"/>
                <w:color w:val="auto"/>
              </w:rPr>
            </w:pPr>
            <w:r>
              <w:rPr>
                <w:rFonts w:ascii="Times New Roman" w:cs="Times New Roman" w:eastAsia="Times New Roman" w:hAnsi="Times New Roman"/>
                <w:sz w:val="20"/>
                <w:szCs w:val="20"/>
                <w:color w:val="auto"/>
              </w:rPr>
              <w:t>2,859</w:t>
            </w:r>
          </w:p>
        </w:tc>
        <w:tc>
          <w:tcPr>
            <w:tcW w:w="120" w:type="dxa"/>
            <w:vAlign w:val="bottom"/>
            <w:tcBorders>
              <w:bottom w:val="single" w:sz="8" w:color="D4EFF4"/>
            </w:tcBorders>
          </w:tcPr>
          <w:p>
            <w:pPr>
              <w:spacing w:after="0"/>
              <w:rPr>
                <w:sz w:val="21"/>
                <w:szCs w:val="21"/>
                <w:color w:val="auto"/>
              </w:rPr>
            </w:pPr>
          </w:p>
        </w:tc>
      </w:tr>
      <w:tr>
        <w:trPr>
          <w:trHeight w:val="224"/>
        </w:trPr>
        <w:tc>
          <w:tcPr>
            <w:tcW w:w="6360" w:type="dxa"/>
            <w:vAlign w:val="bottom"/>
            <w:shd w:val="clear" w:color="auto" w:fill="D4EFF4"/>
          </w:tcPr>
          <w:p>
            <w:pPr>
              <w:ind w:left="200"/>
              <w:spacing w:after="0" w:line="224" w:lineRule="exact"/>
              <w:rPr>
                <w:sz w:val="20"/>
                <w:szCs w:val="20"/>
                <w:color w:val="auto"/>
              </w:rPr>
            </w:pPr>
            <w:r>
              <w:rPr>
                <w:rFonts w:ascii="Times New Roman" w:cs="Times New Roman" w:eastAsia="Times New Roman" w:hAnsi="Times New Roman"/>
                <w:sz w:val="20"/>
                <w:szCs w:val="20"/>
                <w:color w:val="auto"/>
              </w:rPr>
              <w:t>Interest income</w:t>
            </w:r>
          </w:p>
        </w:tc>
        <w:tc>
          <w:tcPr>
            <w:tcW w:w="108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00" w:type="dxa"/>
            <w:vAlign w:val="bottom"/>
            <w:shd w:val="clear" w:color="auto" w:fill="D4EFF4"/>
          </w:tcPr>
          <w:p>
            <w:pPr>
              <w:spacing w:after="0"/>
              <w:rPr>
                <w:sz w:val="19"/>
                <w:szCs w:val="19"/>
                <w:color w:val="auto"/>
              </w:rPr>
            </w:pPr>
          </w:p>
        </w:tc>
        <w:tc>
          <w:tcPr>
            <w:tcW w:w="120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16,933</w:t>
            </w:r>
          </w:p>
        </w:tc>
        <w:tc>
          <w:tcPr>
            <w:tcW w:w="100" w:type="dxa"/>
            <w:vAlign w:val="bottom"/>
            <w:shd w:val="clear" w:color="auto" w:fill="D4EFF4"/>
          </w:tcPr>
          <w:p>
            <w:pPr>
              <w:spacing w:after="0"/>
              <w:rPr>
                <w:sz w:val="19"/>
                <w:szCs w:val="19"/>
                <w:color w:val="auto"/>
              </w:rPr>
            </w:pPr>
          </w:p>
        </w:tc>
        <w:tc>
          <w:tcPr>
            <w:tcW w:w="140" w:type="dxa"/>
            <w:vAlign w:val="bottom"/>
            <w:shd w:val="clear" w:color="auto" w:fill="D4EFF4"/>
          </w:tcPr>
          <w:p>
            <w:pPr>
              <w:spacing w:after="0"/>
              <w:rPr>
                <w:sz w:val="19"/>
                <w:szCs w:val="19"/>
                <w:color w:val="auto"/>
              </w:rPr>
            </w:pPr>
          </w:p>
        </w:tc>
        <w:tc>
          <w:tcPr>
            <w:tcW w:w="20" w:type="dxa"/>
            <w:vAlign w:val="bottom"/>
            <w:shd w:val="clear" w:color="auto" w:fill="D4EFF4"/>
          </w:tcPr>
          <w:p>
            <w:pPr>
              <w:spacing w:after="0"/>
              <w:rPr>
                <w:sz w:val="19"/>
                <w:szCs w:val="19"/>
                <w:color w:val="auto"/>
              </w:rPr>
            </w:pPr>
          </w:p>
        </w:tc>
        <w:tc>
          <w:tcPr>
            <w:tcW w:w="120" w:type="dxa"/>
            <w:vAlign w:val="bottom"/>
            <w:shd w:val="clear" w:color="auto" w:fill="D4EFF4"/>
          </w:tcPr>
          <w:p>
            <w:pPr>
              <w:spacing w:after="0"/>
              <w:rPr>
                <w:sz w:val="19"/>
                <w:szCs w:val="19"/>
                <w:color w:val="auto"/>
              </w:rPr>
            </w:pPr>
          </w:p>
        </w:tc>
        <w:tc>
          <w:tcPr>
            <w:tcW w:w="1180" w:type="dxa"/>
            <w:vAlign w:val="bottom"/>
            <w:shd w:val="clear" w:color="auto" w:fill="D4EFF4"/>
          </w:tcPr>
          <w:p>
            <w:pPr>
              <w:jc w:val="right"/>
              <w:spacing w:after="0" w:line="224" w:lineRule="exact"/>
              <w:rPr>
                <w:sz w:val="20"/>
                <w:szCs w:val="20"/>
                <w:color w:val="auto"/>
              </w:rPr>
            </w:pPr>
            <w:r>
              <w:rPr>
                <w:rFonts w:ascii="Times New Roman" w:cs="Times New Roman" w:eastAsia="Times New Roman" w:hAnsi="Times New Roman"/>
                <w:sz w:val="20"/>
                <w:szCs w:val="20"/>
                <w:color w:val="auto"/>
              </w:rPr>
              <w:t>12,123</w:t>
            </w:r>
          </w:p>
        </w:tc>
        <w:tc>
          <w:tcPr>
            <w:tcW w:w="120" w:type="dxa"/>
            <w:vAlign w:val="bottom"/>
            <w:shd w:val="clear" w:color="auto" w:fill="D4EFF4"/>
          </w:tcPr>
          <w:p>
            <w:pPr>
              <w:spacing w:after="0"/>
              <w:rPr>
                <w:sz w:val="19"/>
                <w:szCs w:val="19"/>
                <w:color w:val="auto"/>
              </w:rPr>
            </w:pPr>
          </w:p>
        </w:tc>
      </w:tr>
      <w:tr>
        <w:trPr>
          <w:trHeight w:val="270"/>
        </w:trPr>
        <w:tc>
          <w:tcPr>
            <w:tcW w:w="7440" w:type="dxa"/>
            <w:vAlign w:val="bottom"/>
            <w:tcBorders>
              <w:bottom w:val="single" w:sz="8" w:color="D4EFF4"/>
            </w:tcBorders>
            <w:gridSpan w:val="2"/>
          </w:tcPr>
          <w:p>
            <w:pPr>
              <w:ind w:left="200"/>
              <w:spacing w:after="0"/>
              <w:rPr>
                <w:sz w:val="20"/>
                <w:szCs w:val="20"/>
                <w:color w:val="auto"/>
              </w:rPr>
            </w:pPr>
            <w:r>
              <w:rPr>
                <w:rFonts w:ascii="Times New Roman" w:cs="Times New Roman" w:eastAsia="Times New Roman" w:hAnsi="Times New Roman"/>
                <w:sz w:val="20"/>
                <w:szCs w:val="20"/>
                <w:color w:val="auto"/>
              </w:rPr>
              <w:t>Other expense, net</w:t>
            </w:r>
          </w:p>
        </w:tc>
        <w:tc>
          <w:tcPr>
            <w:tcW w:w="20" w:type="dxa"/>
            <w:vAlign w:val="bottom"/>
            <w:tcBorders>
              <w:bottom w:val="single" w:sz="8" w:color="D4EFF4"/>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(15 )</w:t>
            </w:r>
          </w:p>
        </w:tc>
        <w:tc>
          <w:tcPr>
            <w:tcW w:w="140" w:type="dxa"/>
            <w:vAlign w:val="bottom"/>
            <w:tcBorders>
              <w:bottom w:val="single" w:sz="8" w:color="D4EFF4"/>
            </w:tcBorders>
          </w:tcPr>
          <w:p>
            <w:pPr>
              <w:spacing w:after="0"/>
              <w:rPr>
                <w:sz w:val="23"/>
                <w:szCs w:val="23"/>
                <w:color w:val="auto"/>
              </w:rPr>
            </w:pPr>
          </w:p>
        </w:tc>
        <w:tc>
          <w:tcPr>
            <w:tcW w:w="20" w:type="dxa"/>
            <w:vAlign w:val="bottom"/>
            <w:tcBorders>
              <w:bottom w:val="single" w:sz="8" w:color="D4EFF4"/>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(24 )</w:t>
            </w:r>
          </w:p>
        </w:tc>
      </w:tr>
      <w:tr>
        <w:trPr>
          <w:trHeight w:val="233"/>
        </w:trPr>
        <w:tc>
          <w:tcPr>
            <w:tcW w:w="6360" w:type="dxa"/>
            <w:vAlign w:val="bottom"/>
            <w:tcBorders>
              <w:top w:val="single" w:sz="8" w:color="D4EFF4"/>
              <w:bottom w:val="single" w:sz="8" w:color="D4EFF4"/>
            </w:tcBorders>
            <w:shd w:val="clear" w:color="auto" w:fill="D4EFF4"/>
          </w:tcPr>
          <w:p>
            <w:pPr>
              <w:ind w:left="400"/>
              <w:spacing w:after="0" w:line="213" w:lineRule="exact"/>
              <w:rPr>
                <w:sz w:val="20"/>
                <w:szCs w:val="20"/>
                <w:color w:val="auto"/>
              </w:rPr>
            </w:pPr>
            <w:r>
              <w:rPr>
                <w:rFonts w:ascii="Times New Roman" w:cs="Times New Roman" w:eastAsia="Times New Roman" w:hAnsi="Times New Roman"/>
                <w:sz w:val="20"/>
                <w:szCs w:val="20"/>
                <w:color w:val="auto"/>
              </w:rPr>
              <w:t>Total other income, net</w:t>
            </w:r>
          </w:p>
        </w:tc>
        <w:tc>
          <w:tcPr>
            <w:tcW w:w="108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1200" w:type="dxa"/>
            <w:vAlign w:val="bottom"/>
            <w:tcBorders>
              <w:top w:val="single" w:sz="8" w:color="D4EFF4"/>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16,918</w:t>
            </w:r>
          </w:p>
        </w:tc>
        <w:tc>
          <w:tcPr>
            <w:tcW w:w="100" w:type="dxa"/>
            <w:vAlign w:val="bottom"/>
            <w:tcBorders>
              <w:top w:val="single" w:sz="8" w:color="D4EFF4"/>
              <w:bottom w:val="single" w:sz="8" w:color="auto"/>
            </w:tcBorders>
            <w:shd w:val="clear" w:color="auto" w:fill="D4EFF4"/>
          </w:tcPr>
          <w:p>
            <w:pPr>
              <w:spacing w:after="0"/>
              <w:rPr>
                <w:sz w:val="20"/>
                <w:szCs w:val="20"/>
                <w:color w:val="auto"/>
              </w:rPr>
            </w:pPr>
          </w:p>
        </w:tc>
        <w:tc>
          <w:tcPr>
            <w:tcW w:w="140" w:type="dxa"/>
            <w:vAlign w:val="bottom"/>
            <w:tcBorders>
              <w:top w:val="single" w:sz="8" w:color="D4EFF4"/>
              <w:bottom w:val="single" w:sz="8" w:color="D4EFF4"/>
            </w:tcBorders>
            <w:shd w:val="clear" w:color="auto" w:fill="D4EFF4"/>
          </w:tcPr>
          <w:p>
            <w:pPr>
              <w:spacing w:after="0"/>
              <w:rPr>
                <w:sz w:val="20"/>
                <w:szCs w:val="20"/>
                <w:color w:val="auto"/>
              </w:rPr>
            </w:pPr>
          </w:p>
        </w:tc>
        <w:tc>
          <w:tcPr>
            <w:tcW w:w="20" w:type="dxa"/>
            <w:vAlign w:val="bottom"/>
            <w:tcBorders>
              <w:top w:val="single" w:sz="8" w:color="D4EFF4"/>
              <w:bottom w:val="single" w:sz="8" w:color="D4EFF4"/>
            </w:tcBorders>
            <w:shd w:val="clear" w:color="auto" w:fill="D4EFF4"/>
          </w:tcPr>
          <w:p>
            <w:pPr>
              <w:spacing w:after="0"/>
              <w:rPr>
                <w:sz w:val="20"/>
                <w:szCs w:val="20"/>
                <w:color w:val="auto"/>
              </w:rPr>
            </w:pPr>
          </w:p>
        </w:tc>
        <w:tc>
          <w:tcPr>
            <w:tcW w:w="120" w:type="dxa"/>
            <w:vAlign w:val="bottom"/>
            <w:tcBorders>
              <w:top w:val="single" w:sz="8" w:color="D4EFF4"/>
              <w:bottom w:val="single" w:sz="8" w:color="auto"/>
            </w:tcBorders>
            <w:shd w:val="clear" w:color="auto" w:fill="D4EFF4"/>
          </w:tcPr>
          <w:p>
            <w:pPr>
              <w:spacing w:after="0"/>
              <w:rPr>
                <w:sz w:val="20"/>
                <w:szCs w:val="20"/>
                <w:color w:val="auto"/>
              </w:rPr>
            </w:pPr>
          </w:p>
        </w:tc>
        <w:tc>
          <w:tcPr>
            <w:tcW w:w="1180" w:type="dxa"/>
            <w:vAlign w:val="bottom"/>
            <w:tcBorders>
              <w:top w:val="single" w:sz="8" w:color="D4EFF4"/>
              <w:bottom w:val="single" w:sz="8" w:color="auto"/>
            </w:tcBorders>
            <w:shd w:val="clear" w:color="auto" w:fill="D4EFF4"/>
          </w:tcPr>
          <w:p>
            <w:pPr>
              <w:jc w:val="right"/>
              <w:spacing w:after="0" w:line="213" w:lineRule="exact"/>
              <w:rPr>
                <w:sz w:val="20"/>
                <w:szCs w:val="20"/>
                <w:color w:val="auto"/>
              </w:rPr>
            </w:pPr>
            <w:r>
              <w:rPr>
                <w:rFonts w:ascii="Times New Roman" w:cs="Times New Roman" w:eastAsia="Times New Roman" w:hAnsi="Times New Roman"/>
                <w:sz w:val="20"/>
                <w:szCs w:val="20"/>
                <w:color w:val="auto"/>
              </w:rPr>
              <w:t>14,958</w:t>
            </w:r>
          </w:p>
        </w:tc>
        <w:tc>
          <w:tcPr>
            <w:tcW w:w="120" w:type="dxa"/>
            <w:vAlign w:val="bottom"/>
            <w:tcBorders>
              <w:top w:val="single" w:sz="8" w:color="D4EFF4"/>
              <w:bottom w:val="single" w:sz="8" w:color="auto"/>
            </w:tcBorders>
            <w:shd w:val="clear" w:color="auto" w:fill="D4EFF4"/>
          </w:tcPr>
          <w:p>
            <w:pPr>
              <w:spacing w:after="0"/>
              <w:rPr>
                <w:sz w:val="20"/>
                <w:szCs w:val="20"/>
                <w:color w:val="auto"/>
              </w:rPr>
            </w:pPr>
          </w:p>
        </w:tc>
      </w:tr>
      <w:tr>
        <w:trPr>
          <w:trHeight w:val="216"/>
        </w:trPr>
        <w:tc>
          <w:tcPr>
            <w:tcW w:w="7440" w:type="dxa"/>
            <w:vAlign w:val="bottom"/>
            <w:gridSpan w:val="2"/>
          </w:tcPr>
          <w:p>
            <w:pPr>
              <w:ind w:left="200"/>
              <w:spacing w:after="0" w:line="215" w:lineRule="exact"/>
              <w:rPr>
                <w:sz w:val="20"/>
                <w:szCs w:val="20"/>
                <w:color w:val="auto"/>
              </w:rPr>
            </w:pPr>
            <w:r>
              <w:rPr>
                <w:rFonts w:ascii="Times New Roman" w:cs="Times New Roman" w:eastAsia="Times New Roman" w:hAnsi="Times New Roman"/>
                <w:sz w:val="20"/>
                <w:szCs w:val="20"/>
                <w:color w:val="auto"/>
              </w:rPr>
              <w:t>Segment and consolidated net loss</w:t>
            </w:r>
          </w:p>
        </w:tc>
        <w:tc>
          <w:tcPr>
            <w:tcW w:w="20" w:type="dxa"/>
            <w:vAlign w:val="bottom"/>
          </w:tcPr>
          <w:p>
            <w:pPr>
              <w:spacing w:after="0"/>
              <w:rPr>
                <w:sz w:val="18"/>
                <w:szCs w:val="18"/>
                <w:color w:val="auto"/>
              </w:rPr>
            </w:pPr>
          </w:p>
        </w:tc>
        <w:tc>
          <w:tcPr>
            <w:tcW w:w="100" w:type="dxa"/>
            <w:vAlign w:val="bottom"/>
          </w:tcPr>
          <w:p>
            <w:pPr>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(143,443 )</w:t>
            </w:r>
          </w:p>
        </w:tc>
        <w:tc>
          <w:tcPr>
            <w:tcW w:w="160" w:type="dxa"/>
            <w:vAlign w:val="bottom"/>
            <w:gridSpan w:val="2"/>
          </w:tcPr>
          <w:p>
            <w:pPr>
              <w:spacing w:after="0"/>
              <w:rPr>
                <w:sz w:val="18"/>
                <w:szCs w:val="18"/>
                <w:color w:val="auto"/>
              </w:rPr>
            </w:pPr>
          </w:p>
        </w:tc>
        <w:tc>
          <w:tcPr>
            <w:tcW w:w="1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300" w:type="dxa"/>
            <w:vAlign w:val="bottom"/>
            <w:gridSpan w:val="2"/>
          </w:tcPr>
          <w:p>
            <w:pPr>
              <w:jc w:val="right"/>
              <w:ind w:right="40"/>
              <w:spacing w:after="0" w:line="215" w:lineRule="exact"/>
              <w:rPr>
                <w:sz w:val="20"/>
                <w:szCs w:val="20"/>
                <w:color w:val="auto"/>
              </w:rPr>
            </w:pPr>
            <w:r>
              <w:rPr>
                <w:rFonts w:ascii="Times New Roman" w:cs="Times New Roman" w:eastAsia="Times New Roman" w:hAnsi="Times New Roman"/>
                <w:sz w:val="20"/>
                <w:szCs w:val="20"/>
                <w:color w:val="auto"/>
              </w:rPr>
              <w:t>(62,806 )</w:t>
            </w:r>
          </w:p>
        </w:tc>
      </w:tr>
      <w:tr>
        <w:trPr>
          <w:trHeight w:val="20"/>
        </w:trPr>
        <w:tc>
          <w:tcPr>
            <w:tcW w:w="6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-3624580</wp:posOffset>
                </wp:positionV>
                <wp:extent cx="6619875"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85.3999pt" to="521.6pt,-285.3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-3004820</wp:posOffset>
                </wp:positionV>
                <wp:extent cx="6619875"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36.5999pt" to="521.6pt,-236.5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-1758950</wp:posOffset>
                </wp:positionV>
                <wp:extent cx="6619875"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38.4999pt" to="521.6pt,-138.4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-1446530</wp:posOffset>
                </wp:positionV>
                <wp:extent cx="472567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567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13.8999pt" to="372.45pt,-113.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5628640</wp:posOffset>
                </wp:positionH>
                <wp:positionV relativeFrom="paragraph">
                  <wp:posOffset>-1446530</wp:posOffset>
                </wp:positionV>
                <wp:extent cx="9779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2pt,-113.8999pt" to="450.9pt,-113.8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-1123950</wp:posOffset>
                </wp:positionV>
                <wp:extent cx="472567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567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88.4999pt" to="372.45pt,-88.4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5628640</wp:posOffset>
                </wp:positionH>
                <wp:positionV relativeFrom="paragraph">
                  <wp:posOffset>-1123950</wp:posOffset>
                </wp:positionV>
                <wp:extent cx="9779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2pt,-88.4999pt" to="450.9pt,-88.4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-810260</wp:posOffset>
                </wp:positionV>
                <wp:extent cx="6619875"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3">
                          <a:solidFill>
                            <a:srgbClr val="FFFFFF"/>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63.7999pt" to="521.6pt,-63.7999pt" o:allowincell="f" strokecolor="#FFFFFF" strokeweight="0.7199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-501015</wp:posOffset>
                </wp:positionV>
                <wp:extent cx="6619875" cy="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1987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4" o:spid="_x0000_s11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39.4499pt" to="521.6pt,-39.44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4445</wp:posOffset>
                </wp:positionH>
                <wp:positionV relativeFrom="paragraph">
                  <wp:posOffset>-181610</wp:posOffset>
                </wp:positionV>
                <wp:extent cx="472567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2567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4.2999pt" to="372.45pt,-14.2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4730115</wp:posOffset>
                </wp:positionH>
                <wp:positionV relativeFrom="paragraph">
                  <wp:posOffset>-179070</wp:posOffset>
                </wp:positionV>
                <wp:extent cx="898525"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8525"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2.45pt,-14.0999pt" to="443.2pt,-14.0999pt" o:allowincell="f" strokecolor="#FFFFFF" strokeweight="0.72pt"/>
            </w:pict>
          </mc:Fallback>
        </mc:AlternateContent>
        <mc:AlternateContent>
          <mc:Choice Requires="wps">
            <w:drawing>
              <wp:anchor simplePos="0" relativeHeight="251657728" behindDoc="1" locked="0" layoutInCell="0" allowOverlap="1">
                <wp:simplePos x="0" y="0"/>
                <wp:positionH relativeFrom="column">
                  <wp:posOffset>5628640</wp:posOffset>
                </wp:positionH>
                <wp:positionV relativeFrom="paragraph">
                  <wp:posOffset>-181610</wp:posOffset>
                </wp:positionV>
                <wp:extent cx="97790"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7790" cy="4763"/>
                        </a:xfrm>
                        <a:prstGeom prst="line">
                          <a:avLst/>
                        </a:prstGeom>
                        <a:solidFill>
                          <a:srgbClr val="FFFFFF"/>
                        </a:solidFill>
                        <a:ln w="15241">
                          <a:solidFill>
                            <a:srgbClr val="FFFFFF"/>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3.2pt,-14.2999pt" to="450.9pt,-14.2999pt" o:allowincell="f" strokecolor="#FFFFFF" strokeweight="1.2001pt"/>
            </w:pict>
          </mc:Fallback>
        </mc:AlternateContent>
        <mc:AlternateContent>
          <mc:Choice Requires="wps">
            <w:drawing>
              <wp:anchor simplePos="0" relativeHeight="251657728" behindDoc="1" locked="0" layoutInCell="0" allowOverlap="1">
                <wp:simplePos x="0" y="0"/>
                <wp:positionH relativeFrom="column">
                  <wp:posOffset>5726430</wp:posOffset>
                </wp:positionH>
                <wp:positionV relativeFrom="paragraph">
                  <wp:posOffset>-179070</wp:posOffset>
                </wp:positionV>
                <wp:extent cx="897890" cy="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97890" cy="4763"/>
                        </a:xfrm>
                        <a:prstGeom prst="line">
                          <a:avLst/>
                        </a:prstGeom>
                        <a:solidFill>
                          <a:srgbClr val="FFFFFF"/>
                        </a:solidFill>
                        <a:ln w="9144">
                          <a:solidFill>
                            <a:srgbClr val="FFFFFF"/>
                          </a:solidFill>
                          <a:miter lim="800000"/>
                          <a:headEnd/>
                          <a:tailEnd/>
                        </a:ln>
                      </wps:spPr>
                      <wps:bodyPr/>
                    </wps:wsp>
                  </a:graphicData>
                </a:graphic>
              </wp:anchor>
            </w:drawing>
          </mc:Choice>
          <mc:Fallback>
            <w:pict>
              <v:line id="Shape 128" o:spid="_x0000_s11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0.9pt,-14.0999pt" to="521.6pt,-14.0999pt" o:allowincell="f" strokecolor="#FFFFFF" strokeweight="0.72pt"/>
            </w:pict>
          </mc:Fallback>
        </mc:AlternateContent>
      </w:r>
    </w:p>
    <w:p>
      <w:pPr>
        <w:sectPr>
          <w:pgSz w:w="12240" w:h="15840" w:orient="portrait"/>
          <w:cols w:equalWidth="0" w:num="1">
            <w:col w:w="10440"/>
          </w:cols>
          <w:pgMar w:left="900" w:top="696" w:right="900" w:bottom="1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10440"/>
          </w:cols>
          <w:pgMar w:left="900" w:top="696" w:right="900" w:bottom="187" w:gutter="0" w:footer="0" w:header="0"/>
          <w:type w:val="continuous"/>
        </w:sectPr>
      </w:pPr>
    </w:p>
    <w:bookmarkStart w:id="158" w:name="page159"/>
    <w:bookmarkEnd w:id="1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[This page intentionally left blank]</w:t>
      </w:r>
    </w:p>
    <w:p>
      <w:pPr>
        <w:sectPr>
          <w:pgSz w:w="12240" w:h="15840" w:orient="portrait"/>
          <w:cols w:equalWidth="0" w:num="1">
            <w:col w:w="9360"/>
          </w:cols>
          <w:pgMar w:left="1440" w:top="1440" w:right="1440" w:bottom="1440" w:gutter="0" w:footer="0" w:header="0"/>
        </w:sectPr>
      </w:pPr>
    </w:p>
    <w:bookmarkStart w:id="159" w:name="page160"/>
    <w:bookmarkEnd w:id="159"/>
    <w:p>
      <w:pPr>
        <w:jc w:val="center"/>
        <w:ind w:right="120"/>
        <w:spacing w:after="0"/>
        <w:rPr>
          <w:sz w:val="20"/>
          <w:szCs w:val="20"/>
          <w:color w:val="auto"/>
        </w:rPr>
      </w:pPr>
      <w:r>
        <w:rPr>
          <w:rFonts w:ascii="Times New Roman" w:cs="Times New Roman" w:eastAsia="Times New Roman" w:hAnsi="Times New Roman"/>
          <w:sz w:val="32"/>
          <w:szCs w:val="32"/>
          <w:b w:val="1"/>
          <w:bCs w:val="1"/>
          <w:color w:val="auto"/>
        </w:rPr>
        <w:t>UPSTREAM BIO, INC.</w:t>
      </w:r>
    </w:p>
    <w:p>
      <w:pPr>
        <w:spacing w:after="0" w:line="22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8"/>
          <w:szCs w:val="28"/>
          <w:b w:val="1"/>
          <w:bCs w:val="1"/>
          <w:color w:val="auto"/>
        </w:rPr>
        <w:t>CORPORATE AND OTHER INFORMATION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3420" w:type="dxa"/>
            <w:vAlign w:val="bottom"/>
          </w:tcPr>
          <w:p>
            <w:pPr>
              <w:spacing w:after="0"/>
              <w:rPr>
                <w:sz w:val="20"/>
                <w:szCs w:val="20"/>
                <w:color w:val="auto"/>
              </w:rPr>
            </w:pPr>
            <w:r>
              <w:rPr>
                <w:rFonts w:ascii="Times New Roman" w:cs="Times New Roman" w:eastAsia="Times New Roman" w:hAnsi="Times New Roman"/>
                <w:sz w:val="28"/>
                <w:szCs w:val="28"/>
                <w:b w:val="1"/>
                <w:bCs w:val="1"/>
                <w:color w:val="auto"/>
              </w:rPr>
              <w:t>Board of Directors</w:t>
            </w:r>
          </w:p>
        </w:tc>
        <w:tc>
          <w:tcPr>
            <w:tcW w:w="3600" w:type="dxa"/>
            <w:vAlign w:val="bottom"/>
          </w:tcPr>
          <w:p>
            <w:pPr>
              <w:ind w:left="320"/>
              <w:spacing w:after="0"/>
              <w:rPr>
                <w:sz w:val="20"/>
                <w:szCs w:val="20"/>
                <w:color w:val="auto"/>
              </w:rPr>
            </w:pPr>
            <w:r>
              <w:rPr>
                <w:rFonts w:ascii="Times New Roman" w:cs="Times New Roman" w:eastAsia="Times New Roman" w:hAnsi="Times New Roman"/>
                <w:sz w:val="28"/>
                <w:szCs w:val="28"/>
                <w:b w:val="1"/>
                <w:bCs w:val="1"/>
                <w:color w:val="auto"/>
              </w:rPr>
              <w:t>Executive Officers</w:t>
            </w:r>
          </w:p>
        </w:tc>
        <w:tc>
          <w:tcPr>
            <w:tcW w:w="3580" w:type="dxa"/>
            <w:vAlign w:val="bottom"/>
          </w:tcPr>
          <w:p>
            <w:pPr>
              <w:ind w:left="280"/>
              <w:spacing w:after="0"/>
              <w:rPr>
                <w:sz w:val="20"/>
                <w:szCs w:val="20"/>
                <w:color w:val="auto"/>
              </w:rPr>
            </w:pPr>
            <w:r>
              <w:rPr>
                <w:rFonts w:ascii="Times New Roman" w:cs="Times New Roman" w:eastAsia="Times New Roman" w:hAnsi="Times New Roman"/>
                <w:sz w:val="28"/>
                <w:szCs w:val="28"/>
                <w:b w:val="1"/>
                <w:bCs w:val="1"/>
                <w:color w:val="auto"/>
              </w:rPr>
              <w:t>Principal Executive Office</w:t>
            </w:r>
          </w:p>
        </w:tc>
        <w:tc>
          <w:tcPr>
            <w:tcW w:w="0" w:type="dxa"/>
            <w:vAlign w:val="bottom"/>
          </w:tcPr>
          <w:p>
            <w:pPr>
              <w:spacing w:after="0"/>
              <w:rPr>
                <w:sz w:val="1"/>
                <w:szCs w:val="1"/>
                <w:color w:val="auto"/>
              </w:rPr>
            </w:pPr>
          </w:p>
        </w:tc>
      </w:tr>
      <w:tr>
        <w:trPr>
          <w:trHeight w:val="229"/>
        </w:trPr>
        <w:tc>
          <w:tcPr>
            <w:tcW w:w="34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890 Winter Street, Suite 200</w:t>
            </w:r>
          </w:p>
        </w:tc>
        <w:tc>
          <w:tcPr>
            <w:tcW w:w="0" w:type="dxa"/>
            <w:vAlign w:val="bottom"/>
          </w:tcPr>
          <w:p>
            <w:pPr>
              <w:spacing w:after="0"/>
              <w:rPr>
                <w:sz w:val="1"/>
                <w:szCs w:val="1"/>
                <w:color w:val="auto"/>
              </w:rPr>
            </w:pPr>
          </w:p>
        </w:tc>
      </w:tr>
      <w:tr>
        <w:trPr>
          <w:trHeight w:val="287"/>
        </w:trPr>
        <w:tc>
          <w:tcPr>
            <w:tcW w:w="34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 Rand Sutherland, M.D.</w:t>
            </w:r>
          </w:p>
        </w:tc>
        <w:tc>
          <w:tcPr>
            <w:tcW w:w="3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E. Rand Sutherland, M.D.</w:t>
            </w:r>
          </w:p>
        </w:tc>
        <w:tc>
          <w:tcPr>
            <w:tcW w:w="3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Waltham, MA 02451</w:t>
            </w:r>
          </w:p>
        </w:tc>
        <w:tc>
          <w:tcPr>
            <w:tcW w:w="0" w:type="dxa"/>
            <w:vAlign w:val="bottom"/>
          </w:tcPr>
          <w:p>
            <w:pPr>
              <w:spacing w:after="0"/>
              <w:rPr>
                <w:sz w:val="1"/>
                <w:szCs w:val="1"/>
                <w:color w:val="auto"/>
              </w:rPr>
            </w:pPr>
          </w:p>
        </w:tc>
      </w:tr>
      <w:tr>
        <w:trPr>
          <w:trHeight w:val="235"/>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Chief Executive Officer,</w:t>
            </w:r>
          </w:p>
        </w:tc>
        <w:tc>
          <w:tcPr>
            <w:tcW w:w="36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Chief Executive Officer</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Upstream Bio, Inc.</w:t>
            </w:r>
          </w:p>
        </w:tc>
        <w:tc>
          <w:tcPr>
            <w:tcW w:w="3600" w:type="dxa"/>
            <w:vAlign w:val="bottom"/>
          </w:tcPr>
          <w:p>
            <w:pPr>
              <w:spacing w:after="0"/>
              <w:rPr>
                <w:sz w:val="23"/>
                <w:szCs w:val="23"/>
                <w:color w:val="auto"/>
              </w:rPr>
            </w:pP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8"/>
                <w:szCs w:val="28"/>
                <w:b w:val="1"/>
                <w:bCs w:val="1"/>
                <w:color w:val="auto"/>
              </w:rPr>
              <w:t>Independent Registered</w:t>
            </w:r>
          </w:p>
        </w:tc>
        <w:tc>
          <w:tcPr>
            <w:tcW w:w="0" w:type="dxa"/>
            <w:vAlign w:val="bottom"/>
          </w:tcPr>
          <w:p>
            <w:pPr>
              <w:spacing w:after="0"/>
              <w:rPr>
                <w:sz w:val="1"/>
                <w:szCs w:val="1"/>
                <w:color w:val="auto"/>
              </w:rPr>
            </w:pPr>
          </w:p>
        </w:tc>
      </w:tr>
      <w:tr>
        <w:trPr>
          <w:trHeight w:val="101"/>
        </w:trPr>
        <w:tc>
          <w:tcPr>
            <w:tcW w:w="3420" w:type="dxa"/>
            <w:vAlign w:val="bottom"/>
          </w:tcPr>
          <w:p>
            <w:pPr>
              <w:spacing w:after="0"/>
              <w:rPr>
                <w:sz w:val="8"/>
                <w:szCs w:val="8"/>
                <w:color w:val="auto"/>
              </w:rPr>
            </w:pPr>
          </w:p>
        </w:tc>
        <w:tc>
          <w:tcPr>
            <w:tcW w:w="3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b w:val="1"/>
                <w:bCs w:val="1"/>
                <w:color w:val="auto"/>
              </w:rPr>
              <w:t>Michael Paul Gray, M.B.A.</w:t>
            </w:r>
          </w:p>
        </w:tc>
        <w:tc>
          <w:tcPr>
            <w:tcW w:w="3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Ronald C. Renaud, Jr., M.B.A.</w:t>
            </w:r>
          </w:p>
        </w:tc>
        <w:tc>
          <w:tcPr>
            <w:tcW w:w="3600" w:type="dxa"/>
            <w:vAlign w:val="bottom"/>
            <w:vMerge w:val="continue"/>
          </w:tcPr>
          <w:p>
            <w:pPr>
              <w:spacing w:after="0"/>
              <w:rPr>
                <w:sz w:val="16"/>
                <w:szCs w:val="16"/>
                <w:color w:val="auto"/>
              </w:rPr>
            </w:pP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8"/>
                <w:szCs w:val="28"/>
                <w:b w:val="1"/>
                <w:bCs w:val="1"/>
                <w:color w:val="auto"/>
              </w:rPr>
              <w:t>Public Accounting Firm</w:t>
            </w:r>
          </w:p>
        </w:tc>
        <w:tc>
          <w:tcPr>
            <w:tcW w:w="0" w:type="dxa"/>
            <w:vAlign w:val="bottom"/>
          </w:tcPr>
          <w:p>
            <w:pPr>
              <w:spacing w:after="0"/>
              <w:rPr>
                <w:sz w:val="1"/>
                <w:szCs w:val="1"/>
                <w:color w:val="auto"/>
              </w:rPr>
            </w:pPr>
          </w:p>
        </w:tc>
      </w:tr>
      <w:tr>
        <w:trPr>
          <w:trHeight w:val="205"/>
        </w:trPr>
        <w:tc>
          <w:tcPr>
            <w:tcW w:w="3420" w:type="dxa"/>
            <w:vAlign w:val="bottom"/>
            <w:vMerge w:val="continue"/>
          </w:tcPr>
          <w:p>
            <w:pPr>
              <w:spacing w:after="0"/>
              <w:rPr>
                <w:sz w:val="17"/>
                <w:szCs w:val="17"/>
                <w:color w:val="auto"/>
              </w:rPr>
            </w:pPr>
          </w:p>
        </w:tc>
        <w:tc>
          <w:tcPr>
            <w:tcW w:w="3600" w:type="dxa"/>
            <w:vAlign w:val="bottom"/>
          </w:tcPr>
          <w:p>
            <w:pPr>
              <w:ind w:left="320"/>
              <w:spacing w:after="0" w:line="206" w:lineRule="exact"/>
              <w:rPr>
                <w:sz w:val="20"/>
                <w:szCs w:val="20"/>
                <w:color w:val="auto"/>
              </w:rPr>
            </w:pPr>
            <w:r>
              <w:rPr>
                <w:rFonts w:ascii="Times New Roman" w:cs="Times New Roman" w:eastAsia="Times New Roman" w:hAnsi="Times New Roman"/>
                <w:sz w:val="20"/>
                <w:szCs w:val="20"/>
                <w:color w:val="auto"/>
              </w:rPr>
              <w:t>Chief Financial Officer and</w:t>
            </w:r>
          </w:p>
        </w:tc>
        <w:tc>
          <w:tcPr>
            <w:tcW w:w="3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line="174" w:lineRule="exact"/>
              <w:rPr>
                <w:sz w:val="20"/>
                <w:szCs w:val="20"/>
                <w:color w:val="auto"/>
              </w:rPr>
            </w:pPr>
            <w:r>
              <w:rPr>
                <w:rFonts w:ascii="Times New Roman" w:cs="Times New Roman" w:eastAsia="Times New Roman" w:hAnsi="Times New Roman"/>
                <w:sz w:val="20"/>
                <w:szCs w:val="20"/>
                <w:color w:val="auto"/>
              </w:rPr>
              <w:t>Board Chair, Upstream Bio, Inc.</w:t>
            </w:r>
          </w:p>
        </w:tc>
        <w:tc>
          <w:tcPr>
            <w:tcW w:w="360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Chief Operating Officer</w:t>
            </w:r>
          </w:p>
        </w:tc>
        <w:tc>
          <w:tcPr>
            <w:tcW w:w="3580" w:type="dxa"/>
            <w:vAlign w:val="bottom"/>
          </w:tcPr>
          <w:p>
            <w:pPr>
              <w:ind w:left="280"/>
              <w:spacing w:after="0" w:line="174" w:lineRule="exact"/>
              <w:rPr>
                <w:sz w:val="20"/>
                <w:szCs w:val="20"/>
                <w:color w:val="auto"/>
              </w:rPr>
            </w:pPr>
            <w:r>
              <w:rPr>
                <w:rFonts w:ascii="Times New Roman" w:cs="Times New Roman" w:eastAsia="Times New Roman" w:hAnsi="Times New Roman"/>
                <w:sz w:val="20"/>
                <w:szCs w:val="20"/>
                <w:color w:val="auto"/>
              </w:rPr>
              <w:t>PricewaterhouseCoopers LLP</w:t>
            </w:r>
          </w:p>
        </w:tc>
        <w:tc>
          <w:tcPr>
            <w:tcW w:w="0" w:type="dxa"/>
            <w:vAlign w:val="bottom"/>
          </w:tcPr>
          <w:p>
            <w:pPr>
              <w:spacing w:after="0"/>
              <w:rPr>
                <w:sz w:val="1"/>
                <w:szCs w:val="1"/>
                <w:color w:val="auto"/>
              </w:rPr>
            </w:pPr>
          </w:p>
        </w:tc>
      </w:tr>
      <w:tr>
        <w:trPr>
          <w:trHeight w:val="117"/>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President and Chief Executive Officer,</w:t>
            </w:r>
          </w:p>
        </w:tc>
        <w:tc>
          <w:tcPr>
            <w:tcW w:w="3600" w:type="dxa"/>
            <w:vAlign w:val="bottom"/>
            <w:vMerge w:val="continue"/>
          </w:tcPr>
          <w:p>
            <w:pPr>
              <w:spacing w:after="0"/>
              <w:rPr>
                <w:sz w:val="10"/>
                <w:szCs w:val="10"/>
                <w:color w:val="auto"/>
              </w:rPr>
            </w:pP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Boston, Massachusetts</w:t>
            </w:r>
          </w:p>
        </w:tc>
        <w:tc>
          <w:tcPr>
            <w:tcW w:w="0" w:type="dxa"/>
            <w:vAlign w:val="bottom"/>
          </w:tcPr>
          <w:p>
            <w:pPr>
              <w:spacing w:after="0"/>
              <w:rPr>
                <w:sz w:val="1"/>
                <w:szCs w:val="1"/>
                <w:color w:val="auto"/>
              </w:rPr>
            </w:pPr>
          </w:p>
        </w:tc>
      </w:tr>
      <w:tr>
        <w:trPr>
          <w:trHeight w:val="128"/>
        </w:trPr>
        <w:tc>
          <w:tcPr>
            <w:tcW w:w="3420" w:type="dxa"/>
            <w:vAlign w:val="bottom"/>
            <w:vMerge w:val="continue"/>
          </w:tcPr>
          <w:p>
            <w:pPr>
              <w:spacing w:after="0"/>
              <w:rPr>
                <w:sz w:val="11"/>
                <w:szCs w:val="11"/>
                <w:color w:val="auto"/>
              </w:rPr>
            </w:pPr>
          </w:p>
        </w:tc>
        <w:tc>
          <w:tcPr>
            <w:tcW w:w="3600" w:type="dxa"/>
            <w:vAlign w:val="bottom"/>
          </w:tcPr>
          <w:p>
            <w:pPr>
              <w:spacing w:after="0"/>
              <w:rPr>
                <w:sz w:val="11"/>
                <w:szCs w:val="11"/>
                <w:color w:val="auto"/>
              </w:rPr>
            </w:pPr>
          </w:p>
        </w:tc>
        <w:tc>
          <w:tcPr>
            <w:tcW w:w="3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5"/>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Kailera Therapeutics, Inc.</w:t>
            </w:r>
          </w:p>
        </w:tc>
        <w:tc>
          <w:tcPr>
            <w:tcW w:w="3600" w:type="dxa"/>
            <w:vAlign w:val="bottom"/>
            <w:vMerge w:val="restart"/>
          </w:tcPr>
          <w:p>
            <w:pPr>
              <w:ind w:left="320"/>
              <w:spacing w:after="0"/>
              <w:rPr>
                <w:sz w:val="20"/>
                <w:szCs w:val="20"/>
                <w:color w:val="auto"/>
              </w:rPr>
            </w:pPr>
            <w:r>
              <w:rPr>
                <w:rFonts w:ascii="Times New Roman" w:cs="Times New Roman" w:eastAsia="Times New Roman" w:hAnsi="Times New Roman"/>
                <w:sz w:val="22"/>
                <w:szCs w:val="22"/>
                <w:b w:val="1"/>
                <w:bCs w:val="1"/>
                <w:color w:val="auto"/>
              </w:rPr>
              <w:t>Aaron Deykin, M.D.</w:t>
            </w: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8"/>
                <w:szCs w:val="28"/>
                <w:b w:val="1"/>
                <w:bCs w:val="1"/>
                <w:color w:val="auto"/>
              </w:rPr>
              <w:t>Transfer Agent</w:t>
            </w:r>
          </w:p>
        </w:tc>
        <w:tc>
          <w:tcPr>
            <w:tcW w:w="0" w:type="dxa"/>
            <w:vAlign w:val="bottom"/>
          </w:tcPr>
          <w:p>
            <w:pPr>
              <w:spacing w:after="0"/>
              <w:rPr>
                <w:sz w:val="1"/>
                <w:szCs w:val="1"/>
                <w:color w:val="auto"/>
              </w:rPr>
            </w:pPr>
          </w:p>
        </w:tc>
      </w:tr>
      <w:tr>
        <w:trPr>
          <w:trHeight w:val="75"/>
        </w:trPr>
        <w:tc>
          <w:tcPr>
            <w:tcW w:w="3420" w:type="dxa"/>
            <w:vAlign w:val="bottom"/>
          </w:tcPr>
          <w:p>
            <w:pPr>
              <w:spacing w:after="0"/>
              <w:rPr>
                <w:sz w:val="6"/>
                <w:szCs w:val="6"/>
                <w:color w:val="auto"/>
              </w:rPr>
            </w:pPr>
          </w:p>
        </w:tc>
        <w:tc>
          <w:tcPr>
            <w:tcW w:w="3600" w:type="dxa"/>
            <w:vAlign w:val="bottom"/>
            <w:vMerge w:val="continue"/>
          </w:tcPr>
          <w:p>
            <w:pPr>
              <w:spacing w:after="0"/>
              <w:rPr>
                <w:sz w:val="6"/>
                <w:szCs w:val="6"/>
                <w:color w:val="auto"/>
              </w:rPr>
            </w:pPr>
          </w:p>
        </w:tc>
        <w:tc>
          <w:tcPr>
            <w:tcW w:w="3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Daniella Beckman</w:t>
            </w:r>
          </w:p>
        </w:tc>
        <w:tc>
          <w:tcPr>
            <w:tcW w:w="3600" w:type="dxa"/>
            <w:vAlign w:val="bottom"/>
          </w:tcPr>
          <w:p>
            <w:pPr>
              <w:ind w:left="320"/>
              <w:spacing w:after="0" w:line="218" w:lineRule="exact"/>
              <w:rPr>
                <w:sz w:val="20"/>
                <w:szCs w:val="20"/>
                <w:color w:val="auto"/>
              </w:rPr>
            </w:pPr>
            <w:r>
              <w:rPr>
                <w:rFonts w:ascii="Times New Roman" w:cs="Times New Roman" w:eastAsia="Times New Roman" w:hAnsi="Times New Roman"/>
                <w:sz w:val="20"/>
                <w:szCs w:val="20"/>
                <w:color w:val="auto"/>
              </w:rPr>
              <w:t>Chief Medical Officer and</w:t>
            </w:r>
          </w:p>
        </w:tc>
        <w:tc>
          <w:tcPr>
            <w:tcW w:w="3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420" w:type="dxa"/>
            <w:vAlign w:val="bottom"/>
            <w:vMerge w:val="continue"/>
          </w:tcPr>
          <w:p>
            <w:pPr>
              <w:spacing w:after="0"/>
              <w:rPr>
                <w:sz w:val="18"/>
                <w:szCs w:val="18"/>
                <w:color w:val="auto"/>
              </w:rPr>
            </w:pPr>
          </w:p>
        </w:tc>
        <w:tc>
          <w:tcPr>
            <w:tcW w:w="3600" w:type="dxa"/>
            <w:vAlign w:val="bottom"/>
          </w:tcPr>
          <w:p>
            <w:pPr>
              <w:ind w:left="320"/>
              <w:spacing w:after="0" w:line="218" w:lineRule="exact"/>
              <w:rPr>
                <w:sz w:val="20"/>
                <w:szCs w:val="20"/>
                <w:color w:val="auto"/>
              </w:rPr>
            </w:pPr>
            <w:r>
              <w:rPr>
                <w:rFonts w:ascii="Times New Roman" w:cs="Times New Roman" w:eastAsia="Times New Roman" w:hAnsi="Times New Roman"/>
                <w:sz w:val="20"/>
                <w:szCs w:val="20"/>
                <w:color w:val="auto"/>
              </w:rPr>
              <w:t>Head of Research and Development</w:t>
            </w:r>
          </w:p>
        </w:tc>
        <w:tc>
          <w:tcPr>
            <w:tcW w:w="3580" w:type="dxa"/>
            <w:vAlign w:val="bottom"/>
          </w:tcPr>
          <w:p>
            <w:pPr>
              <w:ind w:left="280"/>
              <w:spacing w:after="0" w:line="218" w:lineRule="exact"/>
              <w:rPr>
                <w:sz w:val="20"/>
                <w:szCs w:val="20"/>
                <w:color w:val="auto"/>
              </w:rPr>
            </w:pPr>
            <w:r>
              <w:rPr>
                <w:rFonts w:ascii="Times New Roman" w:cs="Times New Roman" w:eastAsia="Times New Roman" w:hAnsi="Times New Roman"/>
                <w:sz w:val="20"/>
                <w:szCs w:val="20"/>
                <w:color w:val="auto"/>
              </w:rPr>
              <w:t>Computershare Trust Company, N.A.</w:t>
            </w:r>
          </w:p>
        </w:tc>
        <w:tc>
          <w:tcPr>
            <w:tcW w:w="0" w:type="dxa"/>
            <w:vAlign w:val="bottom"/>
          </w:tcPr>
          <w:p>
            <w:pPr>
              <w:spacing w:after="0"/>
              <w:rPr>
                <w:sz w:val="1"/>
                <w:szCs w:val="1"/>
                <w:color w:val="auto"/>
              </w:rPr>
            </w:pPr>
          </w:p>
        </w:tc>
      </w:tr>
      <w:tr>
        <w:trPr>
          <w:trHeight w:val="218"/>
        </w:trPr>
        <w:tc>
          <w:tcPr>
            <w:tcW w:w="3420" w:type="dxa"/>
            <w:vAlign w:val="bottom"/>
          </w:tcPr>
          <w:p>
            <w:pPr>
              <w:spacing w:after="0" w:line="218" w:lineRule="exact"/>
              <w:rPr>
                <w:sz w:val="20"/>
                <w:szCs w:val="20"/>
                <w:color w:val="auto"/>
              </w:rPr>
            </w:pPr>
            <w:r>
              <w:rPr>
                <w:rFonts w:ascii="Times New Roman" w:cs="Times New Roman" w:eastAsia="Times New Roman" w:hAnsi="Times New Roman"/>
                <w:sz w:val="20"/>
                <w:szCs w:val="20"/>
                <w:color w:val="auto"/>
              </w:rPr>
              <w:t>Former Chief Financial Officer,</w:t>
            </w:r>
          </w:p>
        </w:tc>
        <w:tc>
          <w:tcPr>
            <w:tcW w:w="3600" w:type="dxa"/>
            <w:vAlign w:val="bottom"/>
          </w:tcPr>
          <w:p>
            <w:pPr>
              <w:spacing w:after="0"/>
              <w:rPr>
                <w:sz w:val="18"/>
                <w:szCs w:val="18"/>
                <w:color w:val="auto"/>
              </w:rPr>
            </w:pPr>
          </w:p>
        </w:tc>
        <w:tc>
          <w:tcPr>
            <w:tcW w:w="3580" w:type="dxa"/>
            <w:vAlign w:val="bottom"/>
          </w:tcPr>
          <w:p>
            <w:pPr>
              <w:ind w:left="280"/>
              <w:spacing w:after="0" w:line="218" w:lineRule="exact"/>
              <w:rPr>
                <w:sz w:val="20"/>
                <w:szCs w:val="20"/>
                <w:color w:val="auto"/>
              </w:rPr>
            </w:pPr>
            <w:r>
              <w:rPr>
                <w:rFonts w:ascii="Times New Roman" w:cs="Times New Roman" w:eastAsia="Times New Roman" w:hAnsi="Times New Roman"/>
                <w:sz w:val="20"/>
                <w:szCs w:val="20"/>
                <w:color w:val="auto"/>
              </w:rPr>
              <w:t>150 Royall Street</w:t>
            </w:r>
          </w:p>
        </w:tc>
        <w:tc>
          <w:tcPr>
            <w:tcW w:w="0" w:type="dxa"/>
            <w:vAlign w:val="bottom"/>
          </w:tcPr>
          <w:p>
            <w:pPr>
              <w:spacing w:after="0"/>
              <w:rPr>
                <w:sz w:val="1"/>
                <w:szCs w:val="1"/>
                <w:color w:val="auto"/>
              </w:rPr>
            </w:pPr>
          </w:p>
        </w:tc>
      </w:tr>
      <w:tr>
        <w:trPr>
          <w:trHeight w:val="313"/>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Tango Therapeutics, Inc.</w:t>
            </w:r>
          </w:p>
        </w:tc>
        <w:tc>
          <w:tcPr>
            <w:tcW w:w="3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Adam Houghton, Ph.D., M.B.A.</w:t>
            </w:r>
          </w:p>
        </w:tc>
        <w:tc>
          <w:tcPr>
            <w:tcW w:w="3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Canton, MA 02021</w:t>
            </w:r>
          </w:p>
        </w:tc>
        <w:tc>
          <w:tcPr>
            <w:tcW w:w="0" w:type="dxa"/>
            <w:vAlign w:val="bottom"/>
          </w:tcPr>
          <w:p>
            <w:pPr>
              <w:spacing w:after="0"/>
              <w:rPr>
                <w:sz w:val="1"/>
                <w:szCs w:val="1"/>
                <w:color w:val="auto"/>
              </w:rPr>
            </w:pPr>
          </w:p>
        </w:tc>
      </w:tr>
      <w:tr>
        <w:trPr>
          <w:trHeight w:val="265"/>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Erez Chimovits, M.B.A., M.Sc.</w:t>
            </w:r>
          </w:p>
        </w:tc>
        <w:tc>
          <w:tcPr>
            <w:tcW w:w="36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Chief Business Officer</w:t>
            </w: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8"/>
                <w:szCs w:val="28"/>
                <w:b w:val="1"/>
                <w:bCs w:val="1"/>
                <w:color w:val="auto"/>
              </w:rPr>
              <w:t>Investor Relations</w:t>
            </w:r>
          </w:p>
        </w:tc>
        <w:tc>
          <w:tcPr>
            <w:tcW w:w="0" w:type="dxa"/>
            <w:vAlign w:val="bottom"/>
          </w:tcPr>
          <w:p>
            <w:pPr>
              <w:spacing w:after="0"/>
              <w:rPr>
                <w:sz w:val="1"/>
                <w:szCs w:val="1"/>
                <w:color w:val="auto"/>
              </w:rPr>
            </w:pPr>
          </w:p>
        </w:tc>
      </w:tr>
      <w:tr>
        <w:trPr>
          <w:trHeight w:val="209"/>
        </w:trPr>
        <w:tc>
          <w:tcPr>
            <w:tcW w:w="3420" w:type="dxa"/>
            <w:vAlign w:val="bottom"/>
            <w:vMerge w:val="continue"/>
          </w:tcPr>
          <w:p>
            <w:pPr>
              <w:spacing w:after="0"/>
              <w:rPr>
                <w:sz w:val="18"/>
                <w:szCs w:val="18"/>
                <w:color w:val="auto"/>
              </w:rPr>
            </w:pPr>
          </w:p>
        </w:tc>
        <w:tc>
          <w:tcPr>
            <w:tcW w:w="36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420" w:type="dxa"/>
            <w:vAlign w:val="bottom"/>
          </w:tcPr>
          <w:p>
            <w:pPr>
              <w:spacing w:after="0"/>
              <w:rPr>
                <w:sz w:val="20"/>
                <w:szCs w:val="20"/>
                <w:color w:val="auto"/>
              </w:rPr>
            </w:pPr>
            <w:r>
              <w:rPr>
                <w:rFonts w:ascii="Times New Roman" w:cs="Times New Roman" w:eastAsia="Times New Roman" w:hAnsi="Times New Roman"/>
                <w:sz w:val="20"/>
                <w:szCs w:val="20"/>
                <w:color w:val="auto"/>
              </w:rPr>
              <w:t>Partner, OrbiMed</w:t>
            </w:r>
          </w:p>
        </w:tc>
        <w:tc>
          <w:tcPr>
            <w:tcW w:w="360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Allison Ambrose, J.D.</w:t>
            </w:r>
          </w:p>
        </w:tc>
        <w:tc>
          <w:tcPr>
            <w:tcW w:w="358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Meggan Buckwell</w:t>
            </w:r>
          </w:p>
        </w:tc>
        <w:tc>
          <w:tcPr>
            <w:tcW w:w="0" w:type="dxa"/>
            <w:vAlign w:val="bottom"/>
          </w:tcPr>
          <w:p>
            <w:pPr>
              <w:spacing w:after="0"/>
              <w:rPr>
                <w:sz w:val="1"/>
                <w:szCs w:val="1"/>
                <w:color w:val="auto"/>
              </w:rPr>
            </w:pPr>
          </w:p>
        </w:tc>
      </w:tr>
      <w:tr>
        <w:trPr>
          <w:trHeight w:val="243"/>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H. Edward Fleming, Jr., M.D.</w:t>
            </w:r>
          </w:p>
        </w:tc>
        <w:tc>
          <w:tcPr>
            <w:tcW w:w="360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Sr. Vice President, General Counsel</w:t>
            </w:r>
          </w:p>
        </w:tc>
        <w:tc>
          <w:tcPr>
            <w:tcW w:w="358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8"/>
              </w:rPr>
              <w:t>Director, Corporate Communications and</w:t>
            </w:r>
          </w:p>
        </w:tc>
        <w:tc>
          <w:tcPr>
            <w:tcW w:w="0" w:type="dxa"/>
            <w:vAlign w:val="bottom"/>
          </w:tcPr>
          <w:p>
            <w:pPr>
              <w:spacing w:after="0"/>
              <w:rPr>
                <w:sz w:val="1"/>
                <w:szCs w:val="1"/>
                <w:color w:val="auto"/>
              </w:rPr>
            </w:pPr>
          </w:p>
        </w:tc>
      </w:tr>
      <w:tr>
        <w:trPr>
          <w:trHeight w:val="151"/>
        </w:trPr>
        <w:tc>
          <w:tcPr>
            <w:tcW w:w="342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Investor Relations</w:t>
            </w:r>
          </w:p>
        </w:tc>
        <w:tc>
          <w:tcPr>
            <w:tcW w:w="0" w:type="dxa"/>
            <w:vAlign w:val="bottom"/>
          </w:tcPr>
          <w:p>
            <w:pPr>
              <w:spacing w:after="0"/>
              <w:rPr>
                <w:sz w:val="1"/>
                <w:szCs w:val="1"/>
                <w:color w:val="auto"/>
              </w:rPr>
            </w:pPr>
          </w:p>
        </w:tc>
      </w:tr>
      <w:tr>
        <w:trPr>
          <w:trHeight w:val="79"/>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Executive Vice President,</w:t>
            </w:r>
          </w:p>
        </w:tc>
        <w:tc>
          <w:tcPr>
            <w:tcW w:w="3600" w:type="dxa"/>
            <w:vAlign w:val="bottom"/>
          </w:tcPr>
          <w:p>
            <w:pPr>
              <w:spacing w:after="0"/>
              <w:rPr>
                <w:sz w:val="6"/>
                <w:szCs w:val="6"/>
                <w:color w:val="auto"/>
              </w:rPr>
            </w:pPr>
          </w:p>
        </w:tc>
        <w:tc>
          <w:tcPr>
            <w:tcW w:w="3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42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580" w:type="dxa"/>
            <w:vAlign w:val="bottom"/>
            <w:vMerge w:val="restart"/>
          </w:tcPr>
          <w:p>
            <w:pPr>
              <w:ind w:left="280"/>
              <w:spacing w:after="0"/>
              <w:rPr>
                <w:sz w:val="20"/>
                <w:szCs w:val="20"/>
                <w:color w:val="auto"/>
              </w:rPr>
            </w:pPr>
            <w:r>
              <w:rPr>
                <w:rFonts w:ascii="Times New Roman" w:cs="Times New Roman" w:eastAsia="Times New Roman" w:hAnsi="Times New Roman"/>
                <w:sz w:val="20"/>
                <w:szCs w:val="20"/>
                <w:color w:val="auto"/>
              </w:rPr>
              <w:t>ir@upstreambio.com</w:t>
            </w:r>
          </w:p>
        </w:tc>
        <w:tc>
          <w:tcPr>
            <w:tcW w:w="0" w:type="dxa"/>
            <w:vAlign w:val="bottom"/>
          </w:tcPr>
          <w:p>
            <w:pPr>
              <w:spacing w:after="0"/>
              <w:rPr>
                <w:sz w:val="1"/>
                <w:szCs w:val="1"/>
                <w:color w:val="auto"/>
              </w:rPr>
            </w:pPr>
          </w:p>
        </w:tc>
      </w:tr>
      <w:tr>
        <w:trPr>
          <w:trHeight w:val="114"/>
        </w:trPr>
        <w:tc>
          <w:tcPr>
            <w:tcW w:w="3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Enavate Sciences</w:t>
            </w:r>
          </w:p>
        </w:tc>
        <w:tc>
          <w:tcPr>
            <w:tcW w:w="3600" w:type="dxa"/>
            <w:vAlign w:val="bottom"/>
          </w:tcPr>
          <w:p>
            <w:pPr>
              <w:spacing w:after="0"/>
              <w:rPr>
                <w:sz w:val="9"/>
                <w:szCs w:val="9"/>
                <w:color w:val="auto"/>
              </w:rPr>
            </w:pPr>
          </w:p>
        </w:tc>
        <w:tc>
          <w:tcPr>
            <w:tcW w:w="3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42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2240" w:h="15840" w:orient="portrait"/>
          <w:cols w:equalWidth="0" w:num="1">
            <w:col w:w="10720"/>
          </w:cols>
          <w:pgMar w:left="820" w:top="681" w:right="700"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Liam Ratcliffe, M.B.Ch.B., Ph.D.,</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M.B.A.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Head of Biotechnology,</w:t>
      </w:r>
    </w:p>
    <w:p>
      <w:pPr>
        <w:spacing w:after="0"/>
        <w:rPr>
          <w:sz w:val="20"/>
          <w:szCs w:val="20"/>
          <w:color w:val="auto"/>
        </w:rPr>
      </w:pPr>
      <w:r>
        <w:rPr>
          <w:rFonts w:ascii="Times New Roman" w:cs="Times New Roman" w:eastAsia="Times New Roman" w:hAnsi="Times New Roman"/>
          <w:sz w:val="20"/>
          <w:szCs w:val="20"/>
          <w:color w:val="auto"/>
        </w:rPr>
        <w:t>Access Industries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Marcella Kuhlman Ruddy, M.D., M.S.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Medical Officer,</w:t>
      </w:r>
    </w:p>
    <w:p>
      <w:pPr>
        <w:spacing w:after="0"/>
        <w:rPr>
          <w:sz w:val="20"/>
          <w:szCs w:val="20"/>
          <w:color w:val="auto"/>
        </w:rPr>
      </w:pPr>
      <w:r>
        <w:rPr>
          <w:rFonts w:ascii="Times New Roman" w:cs="Times New Roman" w:eastAsia="Times New Roman" w:hAnsi="Times New Roman"/>
          <w:sz w:val="20"/>
          <w:szCs w:val="20"/>
          <w:color w:val="auto"/>
        </w:rPr>
        <w:t>Tectonic Therapeutic,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8"/>
          <w:szCs w:val="28"/>
          <w:b w:val="1"/>
          <w:bCs w:val="1"/>
          <w:color w:val="auto"/>
        </w:rPr>
        <w:t>Visit Our Website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www.upstreambio.com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Annual Report on Form</w:t>
      </w:r>
    </w:p>
    <w:p>
      <w:pPr>
        <w:spacing w:after="0" w:line="238" w:lineRule="auto"/>
        <w:rPr>
          <w:sz w:val="20"/>
          <w:szCs w:val="20"/>
          <w:color w:val="auto"/>
        </w:rPr>
      </w:pPr>
      <w:r>
        <w:rPr>
          <w:rFonts w:ascii="Times New Roman" w:cs="Times New Roman" w:eastAsia="Times New Roman" w:hAnsi="Times New Roman"/>
          <w:sz w:val="20"/>
          <w:szCs w:val="20"/>
          <w:color w:val="auto"/>
        </w:rPr>
        <w:t>10-K for the year ended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as filed with the SEC on March 26,</w:t>
      </w:r>
    </w:p>
    <w:p>
      <w:pPr>
        <w:spacing w:after="0"/>
        <w:rPr>
          <w:sz w:val="20"/>
          <w:szCs w:val="20"/>
          <w:color w:val="auto"/>
        </w:rPr>
      </w:pPr>
      <w:r>
        <w:rPr>
          <w:rFonts w:ascii="Times New Roman" w:cs="Times New Roman" w:eastAsia="Times New Roman" w:hAnsi="Times New Roman"/>
          <w:sz w:val="20"/>
          <w:szCs w:val="20"/>
          <w:color w:val="auto"/>
        </w:rPr>
        <w:t>2026, except for exhibits, is printed as part</w:t>
      </w:r>
    </w:p>
    <w:p>
      <w:pPr>
        <w:spacing w:after="0"/>
        <w:rPr>
          <w:sz w:val="20"/>
          <w:szCs w:val="20"/>
          <w:color w:val="auto"/>
        </w:rPr>
      </w:pPr>
      <w:r>
        <w:rPr>
          <w:rFonts w:ascii="Times New Roman" w:cs="Times New Roman" w:eastAsia="Times New Roman" w:hAnsi="Times New Roman"/>
          <w:sz w:val="20"/>
          <w:szCs w:val="20"/>
          <w:color w:val="auto"/>
        </w:rPr>
        <w:t>of this 2025 Annual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Additional copies are available without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charge upon written request. Please</w:t>
      </w:r>
    </w:p>
    <w:p>
      <w:pPr>
        <w:spacing w:after="0"/>
        <w:rPr>
          <w:sz w:val="20"/>
          <w:szCs w:val="20"/>
          <w:color w:val="auto"/>
        </w:rPr>
      </w:pPr>
      <w:r>
        <w:rPr>
          <w:rFonts w:ascii="Times New Roman" w:cs="Times New Roman" w:eastAsia="Times New Roman" w:hAnsi="Times New Roman"/>
          <w:sz w:val="20"/>
          <w:szCs w:val="20"/>
          <w:color w:val="auto"/>
        </w:rPr>
        <w:t>address all requests to:</w:t>
      </w:r>
    </w:p>
    <w:p>
      <w:pPr>
        <w:ind w:left="340"/>
        <w:spacing w:after="0"/>
        <w:rPr>
          <w:sz w:val="20"/>
          <w:szCs w:val="20"/>
          <w:color w:val="auto"/>
        </w:rPr>
      </w:pPr>
      <w:r>
        <w:rPr>
          <w:rFonts w:ascii="Times New Roman" w:cs="Times New Roman" w:eastAsia="Times New Roman" w:hAnsi="Times New Roman"/>
          <w:sz w:val="20"/>
          <w:szCs w:val="20"/>
          <w:color w:val="auto"/>
        </w:rPr>
        <w:t>Upstream Bio, Inc.</w:t>
      </w:r>
    </w:p>
    <w:p>
      <w:pPr>
        <w:ind w:left="340"/>
        <w:spacing w:after="0"/>
        <w:rPr>
          <w:sz w:val="20"/>
          <w:szCs w:val="20"/>
          <w:color w:val="auto"/>
        </w:rPr>
      </w:pPr>
      <w:r>
        <w:rPr>
          <w:rFonts w:ascii="Times New Roman" w:cs="Times New Roman" w:eastAsia="Times New Roman" w:hAnsi="Times New Roman"/>
          <w:sz w:val="20"/>
          <w:szCs w:val="20"/>
          <w:color w:val="auto"/>
        </w:rPr>
        <w:t>Attention: Corporate Secretary</w:t>
      </w:r>
    </w:p>
    <w:p>
      <w:pPr>
        <w:ind w:left="340"/>
        <w:spacing w:after="0"/>
        <w:rPr>
          <w:sz w:val="20"/>
          <w:szCs w:val="20"/>
          <w:color w:val="auto"/>
        </w:rPr>
      </w:pPr>
      <w:r>
        <w:rPr>
          <w:rFonts w:ascii="Times New Roman" w:cs="Times New Roman" w:eastAsia="Times New Roman" w:hAnsi="Times New Roman"/>
          <w:sz w:val="20"/>
          <w:szCs w:val="20"/>
          <w:color w:val="auto"/>
        </w:rPr>
        <w:t>890 Winter Street, Suite 200</w:t>
      </w:r>
    </w:p>
    <w:p>
      <w:pPr>
        <w:ind w:left="340"/>
        <w:spacing w:after="0"/>
        <w:rPr>
          <w:sz w:val="20"/>
          <w:szCs w:val="20"/>
          <w:color w:val="auto"/>
        </w:rPr>
      </w:pPr>
      <w:r>
        <w:rPr>
          <w:rFonts w:ascii="Times New Roman" w:cs="Times New Roman" w:eastAsia="Times New Roman" w:hAnsi="Times New Roman"/>
          <w:sz w:val="20"/>
          <w:szCs w:val="20"/>
          <w:color w:val="auto"/>
        </w:rPr>
        <w:t>Waltham, MA 02451</w:t>
      </w:r>
    </w:p>
    <w:sectPr>
      <w:pgSz w:w="12240" w:h="15840" w:orient="portrait"/>
      <w:cols w:equalWidth="0" w:num="2">
        <w:col w:w="6580" w:space="720"/>
        <w:col w:w="3420"/>
      </w:cols>
      <w:pgMar w:left="820" w:top="681" w:right="70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Symbol">
    <w:panose1 w:val="05050102010706020507"/>
    <w:charset w:val="00"/>
    <w:family w:val="auto"/>
    <w:pitch w:val="variable"/>
    <w:sig w:usb0="00000000" w:usb1="00000000" w:usb2="00000000" w:usb3="00000000" w:csb0="80000000" w:csb1="00000000"/>
  </w:font>
  <w:font w:name="PMingLiU">
    <w:panose1 w:val="02020500000000000000"/>
    <w:charset w:val="88"/>
    <w:family w:val="roman"/>
    <w:pitch w:val="variable"/>
    <w:sig w:usb0="A00002FF" w:usb1="28CFFCFA" w:usb2="00000016" w:usb3="00000000" w:csb0="00100001" w:csb1="0000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724C67E"/>
    <w:multiLevelType w:val="hybridMultilevel"/>
    <w:lvl w:ilvl="0">
      <w:lvlJc w:val="left"/>
      <w:lvlText w:val="ց"/>
      <w:numFmt w:val="bullet"/>
      <w:start w:val="1"/>
    </w:lvl>
  </w:abstractNum>
  <w:abstractNum w:abstractNumId="1">
    <w:nsid w:val="5C482A97"/>
    <w:multiLevelType w:val="hybridMultilevel"/>
    <w:lvl w:ilvl="0">
      <w:lvlJc w:val="left"/>
      <w:lvlText w:val="տ"/>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2"/>
    </w:lvl>
  </w:abstractNum>
  <w:abstractNum w:abstractNumId="12">
    <w:nsid w:val="1D4ED43B"/>
    <w:multiLevelType w:val="hybridMultilevel"/>
    <w:lvl w:ilvl="0">
      <w:lvlJc w:val="left"/>
      <w:lvlText w:val="%1."/>
      <w:numFmt w:val="decimal"/>
      <w:start w:val="55"/>
    </w:lvl>
  </w:abstractNum>
  <w:abstractNum w:abstractNumId="13">
    <w:nsid w:val="725A06FB"/>
    <w:multiLevelType w:val="hybridMultilevel"/>
    <w:lvl w:ilvl="0">
      <w:lvlJc w:val="left"/>
      <w:lvlText w:val="%1"/>
      <w:numFmt w:val="lowerLetter"/>
      <w:start w:val="1"/>
    </w:lvl>
  </w:abstractNum>
  <w:abstractNum w:abstractNumId="14">
    <w:nsid w:val="2CD89A32"/>
    <w:multiLevelType w:val="hybridMultilevel"/>
    <w:lvl w:ilvl="0">
      <w:lvlJc w:val="left"/>
      <w:lvlText w:val="%1"/>
      <w:numFmt w:val="lowerLetter"/>
      <w:start w:val="1"/>
    </w:lvl>
  </w:abstractNum>
  <w:abstractNum w:abstractNumId="15">
    <w:nsid w:val="57E4CCAF"/>
    <w:multiLevelType w:val="hybridMultilevel"/>
    <w:lvl w:ilvl="0">
      <w:lvlJc w:val="left"/>
      <w:lvlText w:val="%1"/>
      <w:numFmt w:val="lowerLetter"/>
      <w:start w:val="1"/>
    </w:lvl>
  </w:abstractNum>
  <w:abstractNum w:abstractNumId="16">
    <w:nsid w:val="7A6D8D3C"/>
    <w:multiLevelType w:val="hybridMultilevel"/>
    <w:lvl w:ilvl="0">
      <w:lvlJc w:val="left"/>
      <w:lvlText w:val="%1"/>
      <w:numFmt w:val="lowerLetter"/>
      <w:start w:val="1"/>
    </w:lvl>
  </w:abstractNum>
  <w:abstractNum w:abstractNumId="17">
    <w:nsid w:val="4B588F54"/>
    <w:multiLevelType w:val="hybridMultilevel"/>
    <w:lvl w:ilvl="0">
      <w:lvlJc w:val="left"/>
      <w:lvlText w:val="%1"/>
      <w:numFmt w:val="lowerLetter"/>
      <w:start w:val="1"/>
    </w:lvl>
  </w:abstractNum>
  <w:abstractNum w:abstractNumId="18">
    <w:nsid w:val="542289EC"/>
    <w:multiLevelType w:val="hybridMultilevel"/>
    <w:lvl w:ilvl="0">
      <w:lvlJc w:val="left"/>
      <w:lvlText w:val="(%1)"/>
      <w:numFmt w:val="lowerLetter"/>
      <w:start w:val="2"/>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lowerLetter"/>
      <w:start w:val="1"/>
    </w:lvl>
  </w:abstractNum>
  <w:abstractNum w:abstractNumId="63">
    <w:nsid w:val="6590700B"/>
    <w:multiLevelType w:val="hybridMultilevel"/>
    <w:lvl w:ilvl="0">
      <w:lvlJc w:val="left"/>
      <w:lvlText w:val="(%1)"/>
      <w:numFmt w:val="decimal"/>
      <w:start w:val="1"/>
    </w:lvl>
  </w:abstractNum>
  <w:abstractNum w:abstractNumId="64">
    <w:nsid w:val="15014ACB"/>
    <w:multiLevelType w:val="hybridMultilevel"/>
    <w:lvl w:ilvl="0">
      <w:lvlJc w:val="left"/>
      <w:lvlText w:val="(%1)"/>
      <w:numFmt w:val="decimal"/>
      <w:start w:val="2"/>
    </w:lvl>
  </w:abstractNum>
  <w:abstractNum w:abstractNumId="65">
    <w:nsid w:val="5F5E7FD0"/>
    <w:multiLevelType w:val="hybridMultilevel"/>
    <w:lvl w:ilvl="0">
      <w:lvlJc w:val="left"/>
      <w:lvlText w:val="(%1)"/>
      <w:numFmt w:val="decimal"/>
      <w:start w:val="3"/>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1."/>
      <w:numFmt w:val="decimal"/>
      <w:start w:val="13"/>
    </w:lvl>
  </w:abstractNum>
  <w:abstractNum w:abstractNumId="72">
    <w:nsid w:val="661E3F1E"/>
    <w:multiLevelType w:val="hybridMultilevel"/>
    <w:lvl w:ilvl="0">
      <w:lvlJc w:val="left"/>
      <w:lvlText w:val="%1."/>
      <w:numFmt w:val="decimal"/>
      <w:start w:val="14"/>
    </w:lvl>
  </w:abstractNum>
  <w:abstractNum w:abstractNumId="73">
    <w:nsid w:val="5DC79EA8"/>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2026-04-16T20:39:30Z</dcterms:created>
  <dcterms:modified xsi:type="dcterms:W3CDTF">2026-04-16T20:39:30Z</dcterms:modified>
</cp:coreProperties>
</file>